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CEBA0" w14:textId="77777777" w:rsidR="00882F40" w:rsidRDefault="00882F40">
      <w:pPr>
        <w:rPr>
          <w:rFonts w:ascii="Arial" w:eastAsia="Arial" w:hAnsi="Arial" w:cs="Arial"/>
        </w:rPr>
      </w:pPr>
    </w:p>
    <w:p w14:paraId="44084B2A" w14:textId="77777777" w:rsidR="00882F40" w:rsidRDefault="00730698">
      <w:pPr>
        <w:spacing w:after="0" w:line="240" w:lineRule="auto"/>
        <w:jc w:val="center"/>
        <w:rPr>
          <w:rFonts w:ascii="Arial" w:eastAsia="Arial" w:hAnsi="Arial" w:cs="Arial"/>
          <w:b/>
          <w:sz w:val="24"/>
          <w:szCs w:val="24"/>
        </w:rPr>
      </w:pPr>
      <w:r>
        <w:rPr>
          <w:rFonts w:ascii="Arial" w:eastAsia="Arial" w:hAnsi="Arial" w:cs="Arial"/>
          <w:b/>
        </w:rPr>
        <w:t>ANEXO N° 6.</w:t>
      </w:r>
    </w:p>
    <w:p w14:paraId="0D3875A2" w14:textId="77777777" w:rsidR="00882F40" w:rsidRDefault="00730698">
      <w:pPr>
        <w:spacing w:after="0" w:line="240" w:lineRule="auto"/>
        <w:jc w:val="center"/>
        <w:rPr>
          <w:rFonts w:ascii="Arial" w:eastAsia="Arial" w:hAnsi="Arial" w:cs="Arial"/>
          <w:b/>
          <w:sz w:val="24"/>
          <w:szCs w:val="24"/>
        </w:rPr>
      </w:pPr>
      <w:r>
        <w:rPr>
          <w:rFonts w:ascii="Arial" w:eastAsia="Arial" w:hAnsi="Arial" w:cs="Arial"/>
          <w:b/>
          <w:sz w:val="24"/>
          <w:szCs w:val="24"/>
        </w:rPr>
        <w:t xml:space="preserve">ACUERDO DE NIVELES DE SERVICIO </w:t>
      </w:r>
    </w:p>
    <w:p w14:paraId="4A05867E" w14:textId="77777777" w:rsidR="00882F40" w:rsidRDefault="00882F40">
      <w:pPr>
        <w:ind w:left="1416"/>
        <w:jc w:val="both"/>
        <w:rPr>
          <w:rFonts w:ascii="Arial" w:eastAsia="Arial" w:hAnsi="Arial" w:cs="Arial"/>
          <w:sz w:val="24"/>
          <w:szCs w:val="24"/>
        </w:rPr>
      </w:pPr>
    </w:p>
    <w:p w14:paraId="510563EB" w14:textId="77777777" w:rsidR="00882F40" w:rsidRDefault="00730698">
      <w:pPr>
        <w:ind w:left="708"/>
        <w:jc w:val="both"/>
        <w:rPr>
          <w:rFonts w:ascii="Arial" w:eastAsia="Arial" w:hAnsi="Arial" w:cs="Arial"/>
          <w:sz w:val="24"/>
          <w:szCs w:val="24"/>
        </w:rPr>
      </w:pPr>
      <w:r>
        <w:rPr>
          <w:rFonts w:ascii="Arial" w:eastAsia="Arial" w:hAnsi="Arial" w:cs="Arial"/>
          <w:sz w:val="24"/>
          <w:szCs w:val="24"/>
        </w:rPr>
        <w:t>Yo_______________, identificado(a) con cédula de ciudadanía No. _______________, en mi condición de representante legal de la empresa _______________, identificada con NIT _______________, mediante el presente suscribo con la Empresa de Parques y Eventos de Antioquia - ACTIVA. El siguiente:</w:t>
      </w:r>
    </w:p>
    <w:p w14:paraId="3097AB21" w14:textId="77777777" w:rsidR="007A1115" w:rsidRPr="00980E90" w:rsidRDefault="007A1115" w:rsidP="007A1115">
      <w:pPr>
        <w:spacing w:after="0" w:line="240" w:lineRule="auto"/>
        <w:rPr>
          <w:rFonts w:ascii="Quattrocento Sans" w:eastAsia="Quattrocento Sans" w:hAnsi="Quattrocento Sans" w:cs="Quattrocento Sans"/>
          <w:color w:val="000000"/>
          <w:sz w:val="24"/>
          <w:szCs w:val="24"/>
        </w:rPr>
      </w:pPr>
      <w:r w:rsidRPr="00980E90">
        <w:rPr>
          <w:rFonts w:ascii="Arial" w:eastAsia="Arial" w:hAnsi="Arial" w:cs="Arial"/>
          <w:b/>
          <w:color w:val="000000"/>
          <w:sz w:val="24"/>
          <w:szCs w:val="24"/>
        </w:rPr>
        <w:t xml:space="preserve">Referencia: </w:t>
      </w:r>
      <w:r w:rsidRPr="00980E90">
        <w:rPr>
          <w:rFonts w:ascii="Arial" w:eastAsia="Arial" w:hAnsi="Arial" w:cs="Arial"/>
          <w:color w:val="000000"/>
          <w:sz w:val="24"/>
          <w:szCs w:val="24"/>
        </w:rPr>
        <w:t>Invitación abierta 001 de 2025.  </w:t>
      </w:r>
    </w:p>
    <w:p w14:paraId="458CE163" w14:textId="77777777" w:rsidR="007A1115" w:rsidRPr="00980E90" w:rsidRDefault="007A1115" w:rsidP="007A1115">
      <w:pPr>
        <w:spacing w:after="0" w:line="240" w:lineRule="auto"/>
        <w:rPr>
          <w:rFonts w:ascii="Arial" w:eastAsia="Arial" w:hAnsi="Arial" w:cs="Arial"/>
          <w:color w:val="000000"/>
          <w:sz w:val="24"/>
          <w:szCs w:val="24"/>
        </w:rPr>
      </w:pPr>
      <w:r w:rsidRPr="00980E90">
        <w:rPr>
          <w:rFonts w:ascii="Arial" w:eastAsia="Arial" w:hAnsi="Arial" w:cs="Arial"/>
          <w:color w:val="000000"/>
          <w:sz w:val="24"/>
          <w:szCs w:val="24"/>
        </w:rPr>
        <w:t> </w:t>
      </w:r>
    </w:p>
    <w:p w14:paraId="48AF68FB" w14:textId="77777777" w:rsidR="007A1115" w:rsidRPr="00980E90" w:rsidRDefault="007A1115" w:rsidP="007A1115">
      <w:pPr>
        <w:spacing w:after="0" w:line="240" w:lineRule="auto"/>
        <w:jc w:val="both"/>
        <w:rPr>
          <w:rFonts w:ascii="Arial" w:eastAsia="Arial" w:hAnsi="Arial" w:cs="Arial"/>
          <w:sz w:val="24"/>
          <w:szCs w:val="24"/>
        </w:rPr>
      </w:pPr>
      <w:r w:rsidRPr="00980E90">
        <w:rPr>
          <w:rFonts w:ascii="Arial" w:eastAsia="Arial" w:hAnsi="Arial" w:cs="Arial"/>
          <w:b/>
          <w:bCs/>
          <w:sz w:val="24"/>
          <w:szCs w:val="24"/>
        </w:rPr>
        <w:t>Objeto:</w:t>
      </w:r>
      <w:r w:rsidRPr="00980E90">
        <w:rPr>
          <w:rFonts w:ascii="Arial" w:eastAsia="Arial" w:hAnsi="Arial" w:cs="Arial"/>
          <w:sz w:val="24"/>
          <w:szCs w:val="24"/>
        </w:rPr>
        <w:t xml:space="preserve"> </w:t>
      </w:r>
      <w:bookmarkStart w:id="0" w:name="_Hlk211409526"/>
      <w:r w:rsidRPr="00980E90">
        <w:rPr>
          <w:rFonts w:ascii="Arial" w:eastAsia="Arial" w:hAnsi="Arial" w:cs="Arial"/>
          <w:sz w:val="24"/>
          <w:szCs w:val="24"/>
        </w:rPr>
        <w:t>prestación de servicios de operación logística integral que se requieran para desarrollar y ejecutar todo tipo de eventos coordinados, organizados y/o administrados por la Empresa de Parques y Eventos de Antioquia - ACTIVA</w:t>
      </w:r>
      <w:bookmarkEnd w:id="0"/>
      <w:r w:rsidRPr="00980E90">
        <w:rPr>
          <w:rFonts w:ascii="Arial" w:eastAsia="Arial" w:hAnsi="Arial" w:cs="Arial"/>
          <w:sz w:val="24"/>
          <w:szCs w:val="24"/>
        </w:rPr>
        <w:t>.</w:t>
      </w:r>
    </w:p>
    <w:p w14:paraId="1248F275" w14:textId="77777777" w:rsidR="00882F40" w:rsidRDefault="00730698">
      <w:pPr>
        <w:pBdr>
          <w:top w:val="nil"/>
          <w:left w:val="nil"/>
          <w:bottom w:val="nil"/>
          <w:right w:val="nil"/>
          <w:between w:val="nil"/>
        </w:pBdr>
        <w:spacing w:before="280" w:after="0" w:line="240" w:lineRule="auto"/>
        <w:ind w:left="720"/>
        <w:jc w:val="center"/>
        <w:rPr>
          <w:rFonts w:ascii="Arial" w:eastAsia="Arial" w:hAnsi="Arial" w:cs="Arial"/>
          <w:b/>
          <w:color w:val="000000"/>
          <w:sz w:val="24"/>
          <w:szCs w:val="24"/>
        </w:rPr>
      </w:pPr>
      <w:r>
        <w:rPr>
          <w:rFonts w:ascii="Arial" w:eastAsia="Arial" w:hAnsi="Arial" w:cs="Arial"/>
          <w:b/>
          <w:color w:val="000000"/>
          <w:sz w:val="24"/>
          <w:szCs w:val="24"/>
        </w:rPr>
        <w:t>ACUERDO DE NIVELES DE SERVICIO – ANS</w:t>
      </w:r>
    </w:p>
    <w:p w14:paraId="138A2442" w14:textId="77777777" w:rsidR="00882F40" w:rsidRDefault="00882F40">
      <w:pPr>
        <w:pBdr>
          <w:top w:val="nil"/>
          <w:left w:val="nil"/>
          <w:bottom w:val="nil"/>
          <w:right w:val="nil"/>
          <w:between w:val="nil"/>
        </w:pBdr>
        <w:spacing w:after="0" w:line="240" w:lineRule="auto"/>
        <w:ind w:left="720"/>
        <w:jc w:val="both"/>
        <w:rPr>
          <w:rFonts w:ascii="Arial" w:eastAsia="Arial" w:hAnsi="Arial" w:cs="Arial"/>
          <w:b/>
          <w:color w:val="000000"/>
          <w:sz w:val="24"/>
          <w:szCs w:val="24"/>
        </w:rPr>
      </w:pPr>
    </w:p>
    <w:p w14:paraId="359DC2D5" w14:textId="77777777" w:rsidR="00882F40" w:rsidRDefault="00730698">
      <w:pPr>
        <w:numPr>
          <w:ilvl w:val="0"/>
          <w:numId w:val="1"/>
        </w:numPr>
        <w:pBdr>
          <w:top w:val="nil"/>
          <w:left w:val="nil"/>
          <w:bottom w:val="nil"/>
          <w:right w:val="nil"/>
          <w:between w:val="nil"/>
        </w:pBdr>
        <w:spacing w:after="280" w:line="240" w:lineRule="auto"/>
        <w:jc w:val="both"/>
        <w:rPr>
          <w:rFonts w:ascii="Arial" w:eastAsia="Arial" w:hAnsi="Arial" w:cs="Arial"/>
          <w:b/>
          <w:color w:val="000000"/>
          <w:sz w:val="24"/>
          <w:szCs w:val="24"/>
        </w:rPr>
      </w:pPr>
      <w:r>
        <w:rPr>
          <w:rFonts w:ascii="Arial" w:eastAsia="Arial" w:hAnsi="Arial" w:cs="Arial"/>
          <w:b/>
          <w:color w:val="000000"/>
          <w:sz w:val="24"/>
          <w:szCs w:val="24"/>
        </w:rPr>
        <w:t>INTRODUCCIÓN</w:t>
      </w:r>
    </w:p>
    <w:p w14:paraId="00482A78" w14:textId="785845D4" w:rsidR="00882F40" w:rsidRPr="007A1115" w:rsidRDefault="00730698" w:rsidP="007A1115">
      <w:pPr>
        <w:spacing w:after="0" w:line="240" w:lineRule="auto"/>
        <w:jc w:val="both"/>
        <w:rPr>
          <w:rFonts w:ascii="Arial" w:eastAsia="Arial" w:hAnsi="Arial" w:cs="Arial"/>
          <w:sz w:val="24"/>
          <w:szCs w:val="24"/>
        </w:rPr>
      </w:pPr>
      <w:r>
        <w:rPr>
          <w:rFonts w:ascii="Arial" w:eastAsia="Arial" w:hAnsi="Arial" w:cs="Arial"/>
          <w:color w:val="161616"/>
          <w:sz w:val="24"/>
          <w:szCs w:val="24"/>
        </w:rPr>
        <w:t xml:space="preserve">Con el fin de generar una mejora continua en la ejecución de las órdenes de pedido para la  </w:t>
      </w:r>
      <w:r w:rsidR="007A1115" w:rsidRPr="007A1115">
        <w:rPr>
          <w:rFonts w:ascii="Arial" w:eastAsia="Arial" w:hAnsi="Arial" w:cs="Arial"/>
          <w:b/>
          <w:bCs/>
          <w:sz w:val="24"/>
          <w:szCs w:val="24"/>
        </w:rPr>
        <w:t>PRESTACIÓN DE SERVICIOS DE OPERACIÓN LOGÍSTICA INTEGRAL QUE SE REQUIERAN PARA DESARROLLAR Y EJECUTAR TODO TIPO DE EVENTOS COORDINADOS, ORGANIZADOS Y/O ADMINISTRADOS POR LA EMPRESA DE PARQUES Y EVENTOS DE ANTIOQUIA - ACTIVA</w:t>
      </w:r>
      <w:r>
        <w:rPr>
          <w:rFonts w:ascii="Arial" w:eastAsia="Arial" w:hAnsi="Arial" w:cs="Arial"/>
          <w:color w:val="000000"/>
          <w:sz w:val="24"/>
          <w:szCs w:val="24"/>
        </w:rPr>
        <w:t xml:space="preserve">. </w:t>
      </w:r>
      <w:r>
        <w:rPr>
          <w:rFonts w:ascii="Arial" w:eastAsia="Arial" w:hAnsi="Arial" w:cs="Arial"/>
          <w:color w:val="161616"/>
          <w:sz w:val="24"/>
          <w:szCs w:val="24"/>
        </w:rPr>
        <w:t xml:space="preserve">Se plantea como estrategia desarrollar un lineamiento que le permita administrar los niveles de calidad del servicio en cumplimiento de las obligaciones estipuladas en el Acuerdo Marco. </w:t>
      </w:r>
    </w:p>
    <w:p w14:paraId="6B91DCD6" w14:textId="77777777" w:rsidR="00882F40" w:rsidRDefault="00730698">
      <w:pPr>
        <w:pBdr>
          <w:top w:val="nil"/>
          <w:left w:val="nil"/>
          <w:bottom w:val="nil"/>
          <w:right w:val="nil"/>
          <w:between w:val="nil"/>
        </w:pBdr>
        <w:spacing w:line="240" w:lineRule="auto"/>
        <w:ind w:left="708"/>
        <w:jc w:val="both"/>
        <w:rPr>
          <w:rFonts w:ascii="Arial" w:eastAsia="Arial" w:hAnsi="Arial" w:cs="Arial"/>
          <w:color w:val="000000"/>
          <w:sz w:val="24"/>
          <w:szCs w:val="24"/>
        </w:rPr>
      </w:pPr>
      <w:r>
        <w:rPr>
          <w:rFonts w:ascii="Arial" w:eastAsia="Arial" w:hAnsi="Arial" w:cs="Arial"/>
          <w:color w:val="161616"/>
          <w:sz w:val="24"/>
          <w:szCs w:val="24"/>
        </w:rPr>
        <w:t xml:space="preserve">El lineamiento mencionado, se denomina “Administración de Acuerdos de Nivel de Servicio (ANS)” el cual garantiza que algunas de las obligaciones pactadas con el contratista se cumplan, de acuerdo con los objetivos y tiempos que se definan, que le permitirá́ al Supervisor de la orden de pedido, utilizar mecanismos y herramientas en pro de conminar el cumplimiento de los niveles de servicio establecidos. </w:t>
      </w:r>
    </w:p>
    <w:p w14:paraId="55D1F421" w14:textId="77777777" w:rsidR="00882F40" w:rsidRDefault="00730698">
      <w:pPr>
        <w:pBdr>
          <w:top w:val="nil"/>
          <w:left w:val="nil"/>
          <w:bottom w:val="nil"/>
          <w:right w:val="nil"/>
          <w:between w:val="nil"/>
        </w:pBdr>
        <w:spacing w:line="240" w:lineRule="auto"/>
        <w:ind w:left="708"/>
        <w:jc w:val="both"/>
        <w:rPr>
          <w:rFonts w:ascii="Arial" w:eastAsia="Arial" w:hAnsi="Arial" w:cs="Arial"/>
          <w:color w:val="161616"/>
          <w:sz w:val="24"/>
          <w:szCs w:val="24"/>
        </w:rPr>
      </w:pPr>
      <w:r>
        <w:rPr>
          <w:rFonts w:ascii="Arial" w:eastAsia="Arial" w:hAnsi="Arial" w:cs="Arial"/>
          <w:color w:val="161616"/>
          <w:sz w:val="24"/>
          <w:szCs w:val="24"/>
        </w:rPr>
        <w:t>Este documento define y estipula los Acuerdos Niveles de Servicio (ANS), exigibles a los proveedores aliados.</w:t>
      </w:r>
    </w:p>
    <w:p w14:paraId="728F7DE9" w14:textId="77777777" w:rsidR="00882F40" w:rsidRDefault="00730698">
      <w:pPr>
        <w:numPr>
          <w:ilvl w:val="0"/>
          <w:numId w:val="1"/>
        </w:numPr>
        <w:pBdr>
          <w:top w:val="nil"/>
          <w:left w:val="nil"/>
          <w:bottom w:val="nil"/>
          <w:right w:val="nil"/>
          <w:between w:val="nil"/>
        </w:pBdr>
        <w:spacing w:line="240" w:lineRule="auto"/>
        <w:ind w:left="708"/>
        <w:jc w:val="both"/>
        <w:rPr>
          <w:rFonts w:ascii="Arial" w:eastAsia="Arial" w:hAnsi="Arial" w:cs="Arial"/>
          <w:b/>
          <w:color w:val="000000"/>
          <w:sz w:val="24"/>
          <w:szCs w:val="24"/>
        </w:rPr>
      </w:pPr>
      <w:r>
        <w:rPr>
          <w:rFonts w:ascii="Arial" w:eastAsia="Arial" w:hAnsi="Arial" w:cs="Arial"/>
          <w:b/>
          <w:color w:val="161616"/>
          <w:sz w:val="24"/>
          <w:szCs w:val="24"/>
        </w:rPr>
        <w:t>OBJETIVO</w:t>
      </w:r>
    </w:p>
    <w:p w14:paraId="05DE5161" w14:textId="77777777" w:rsidR="00882F40" w:rsidRDefault="00730698">
      <w:pPr>
        <w:pBdr>
          <w:top w:val="nil"/>
          <w:left w:val="nil"/>
          <w:bottom w:val="nil"/>
          <w:right w:val="nil"/>
          <w:between w:val="nil"/>
        </w:pBdr>
        <w:spacing w:line="240" w:lineRule="auto"/>
        <w:ind w:left="696"/>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El objetivo de este documento es la presentación de los acuerdos de nivel de servicio ANS, el cual permitirá́ mejorar el servicio de operación logística ajustados a la oportunidad y pertinencia de las necesidades soportadas por la Empresa de Parques y Eventos de Antioquia - ACTIVA. </w:t>
      </w:r>
    </w:p>
    <w:p w14:paraId="3CE4A1EC" w14:textId="77777777" w:rsidR="00882F40" w:rsidRDefault="00882F40">
      <w:pPr>
        <w:pBdr>
          <w:top w:val="nil"/>
          <w:left w:val="nil"/>
          <w:bottom w:val="nil"/>
          <w:right w:val="nil"/>
          <w:between w:val="nil"/>
        </w:pBdr>
        <w:spacing w:line="240" w:lineRule="auto"/>
        <w:ind w:left="708"/>
        <w:jc w:val="both"/>
        <w:rPr>
          <w:rFonts w:ascii="Arial" w:eastAsia="Arial" w:hAnsi="Arial" w:cs="Arial"/>
          <w:color w:val="000000"/>
          <w:sz w:val="24"/>
          <w:szCs w:val="24"/>
        </w:rPr>
      </w:pPr>
    </w:p>
    <w:p w14:paraId="2A24B09B" w14:textId="77777777" w:rsidR="00882F40" w:rsidRDefault="00730698">
      <w:pPr>
        <w:numPr>
          <w:ilvl w:val="0"/>
          <w:numId w:val="1"/>
        </w:numPr>
        <w:pBdr>
          <w:top w:val="nil"/>
          <w:left w:val="nil"/>
          <w:bottom w:val="nil"/>
          <w:right w:val="nil"/>
          <w:between w:val="nil"/>
        </w:pBdr>
        <w:spacing w:line="240" w:lineRule="auto"/>
        <w:jc w:val="both"/>
        <w:rPr>
          <w:rFonts w:ascii="Arial" w:eastAsia="Arial" w:hAnsi="Arial" w:cs="Arial"/>
          <w:b/>
          <w:color w:val="000000"/>
          <w:sz w:val="24"/>
          <w:szCs w:val="24"/>
        </w:rPr>
      </w:pPr>
      <w:r>
        <w:rPr>
          <w:rFonts w:ascii="Arial" w:eastAsia="Arial" w:hAnsi="Arial" w:cs="Arial"/>
          <w:b/>
          <w:color w:val="000000"/>
          <w:sz w:val="24"/>
          <w:szCs w:val="24"/>
        </w:rPr>
        <w:t>DEFINICIÓN</w:t>
      </w:r>
    </w:p>
    <w:p w14:paraId="5C97E3ED" w14:textId="77777777" w:rsidR="00882F40" w:rsidRDefault="00730698">
      <w:pPr>
        <w:pBdr>
          <w:top w:val="nil"/>
          <w:left w:val="nil"/>
          <w:bottom w:val="nil"/>
          <w:right w:val="nil"/>
          <w:between w:val="nil"/>
        </w:pBdr>
        <w:spacing w:line="240" w:lineRule="auto"/>
        <w:ind w:left="708"/>
        <w:jc w:val="both"/>
        <w:rPr>
          <w:rFonts w:ascii="Arial" w:eastAsia="Arial" w:hAnsi="Arial" w:cs="Arial"/>
          <w:color w:val="000000"/>
          <w:sz w:val="24"/>
          <w:szCs w:val="24"/>
        </w:rPr>
      </w:pPr>
      <w:r>
        <w:rPr>
          <w:rFonts w:ascii="Arial" w:eastAsia="Arial" w:hAnsi="Arial" w:cs="Arial"/>
          <w:b/>
          <w:color w:val="161616"/>
          <w:sz w:val="24"/>
          <w:szCs w:val="24"/>
        </w:rPr>
        <w:t xml:space="preserve">ANS – ACUERDO DE NIVEL DE SERVICIO: </w:t>
      </w:r>
      <w:r>
        <w:rPr>
          <w:rFonts w:ascii="Arial" w:eastAsia="Arial" w:hAnsi="Arial" w:cs="Arial"/>
          <w:color w:val="161616"/>
          <w:sz w:val="24"/>
          <w:szCs w:val="24"/>
        </w:rPr>
        <w:t xml:space="preserve">Es un acuerdo entre Proveedor Aliado y ACTIVA, el cual pretende documentar los objetivos de nivel de servicio y especifica las responsabilidades del proveedor. </w:t>
      </w:r>
    </w:p>
    <w:p w14:paraId="4A0FEF16" w14:textId="77777777" w:rsidR="00882F40" w:rsidRDefault="00730698">
      <w:pPr>
        <w:pBdr>
          <w:top w:val="nil"/>
          <w:left w:val="nil"/>
          <w:bottom w:val="nil"/>
          <w:right w:val="nil"/>
          <w:between w:val="nil"/>
        </w:pBdr>
        <w:spacing w:line="240" w:lineRule="auto"/>
        <w:ind w:left="708"/>
        <w:jc w:val="both"/>
        <w:rPr>
          <w:rFonts w:ascii="Arial" w:eastAsia="Arial" w:hAnsi="Arial" w:cs="Arial"/>
          <w:color w:val="000000"/>
          <w:sz w:val="24"/>
          <w:szCs w:val="24"/>
        </w:rPr>
      </w:pPr>
      <w:r>
        <w:rPr>
          <w:rFonts w:ascii="Arial" w:eastAsia="Arial" w:hAnsi="Arial" w:cs="Arial"/>
          <w:color w:val="161616"/>
          <w:sz w:val="24"/>
          <w:szCs w:val="24"/>
        </w:rPr>
        <w:t xml:space="preserve">Los ANS establecen la relación entre las partes. En ellos se identifican y definen las necesidades de ACTIVA, a la vez, que se controlan sus expectativas de ejecución del servicio en relación con la capacidad del proveedor. </w:t>
      </w:r>
    </w:p>
    <w:p w14:paraId="6053FFB9" w14:textId="77777777" w:rsidR="00882F40" w:rsidRDefault="00730698">
      <w:pPr>
        <w:numPr>
          <w:ilvl w:val="0"/>
          <w:numId w:val="1"/>
        </w:numPr>
        <w:pBdr>
          <w:top w:val="nil"/>
          <w:left w:val="nil"/>
          <w:bottom w:val="nil"/>
          <w:right w:val="nil"/>
          <w:between w:val="nil"/>
        </w:pBdr>
        <w:spacing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ALCANCE </w:t>
      </w:r>
    </w:p>
    <w:p w14:paraId="11864928" w14:textId="77777777" w:rsidR="00882F40" w:rsidRDefault="00730698">
      <w:pPr>
        <w:pBdr>
          <w:top w:val="nil"/>
          <w:left w:val="nil"/>
          <w:bottom w:val="nil"/>
          <w:right w:val="nil"/>
          <w:between w:val="nil"/>
        </w:pBdr>
        <w:spacing w:line="240" w:lineRule="auto"/>
        <w:ind w:left="720"/>
        <w:jc w:val="both"/>
        <w:rPr>
          <w:rFonts w:ascii="Arial" w:eastAsia="Arial" w:hAnsi="Arial" w:cs="Arial"/>
          <w:color w:val="000000"/>
          <w:sz w:val="24"/>
          <w:szCs w:val="24"/>
        </w:rPr>
      </w:pPr>
      <w:proofErr w:type="gramStart"/>
      <w:r>
        <w:rPr>
          <w:rFonts w:ascii="Arial" w:eastAsia="Arial" w:hAnsi="Arial" w:cs="Arial"/>
          <w:color w:val="000000"/>
          <w:sz w:val="24"/>
          <w:szCs w:val="24"/>
        </w:rPr>
        <w:t>El alcance de los presentes ANS buscan</w:t>
      </w:r>
      <w:proofErr w:type="gramEnd"/>
      <w:r>
        <w:rPr>
          <w:rFonts w:ascii="Arial" w:eastAsia="Arial" w:hAnsi="Arial" w:cs="Arial"/>
          <w:color w:val="000000"/>
          <w:sz w:val="24"/>
          <w:szCs w:val="24"/>
        </w:rPr>
        <w:t xml:space="preserve"> estandarizar los tiempos de respuesta por parte de los Proveedores Aliados, durante las diferentes etapas o procesos derivados de la relación contractual establecida en los Acuerdos Marco, suscritos entre las partes.</w:t>
      </w:r>
    </w:p>
    <w:p w14:paraId="67B13B0D" w14:textId="77777777" w:rsidR="00882F40" w:rsidRDefault="00730698">
      <w:pPr>
        <w:numPr>
          <w:ilvl w:val="0"/>
          <w:numId w:val="1"/>
        </w:numPr>
        <w:pBdr>
          <w:top w:val="nil"/>
          <w:left w:val="nil"/>
          <w:bottom w:val="nil"/>
          <w:right w:val="nil"/>
          <w:between w:val="nil"/>
        </w:pBdr>
        <w:spacing w:line="240" w:lineRule="auto"/>
        <w:jc w:val="both"/>
        <w:rPr>
          <w:rFonts w:ascii="Arial" w:eastAsia="Arial" w:hAnsi="Arial" w:cs="Arial"/>
          <w:b/>
          <w:color w:val="000000"/>
          <w:sz w:val="24"/>
          <w:szCs w:val="24"/>
        </w:rPr>
      </w:pPr>
      <w:r>
        <w:rPr>
          <w:rFonts w:ascii="Arial" w:eastAsia="Arial" w:hAnsi="Arial" w:cs="Arial"/>
          <w:b/>
          <w:color w:val="000000"/>
          <w:sz w:val="24"/>
          <w:szCs w:val="24"/>
        </w:rPr>
        <w:t>MARCO LEGAL</w:t>
      </w:r>
    </w:p>
    <w:p w14:paraId="1533526B" w14:textId="77777777" w:rsidR="00882F40" w:rsidRDefault="00730698">
      <w:pPr>
        <w:numPr>
          <w:ilvl w:val="0"/>
          <w:numId w:val="5"/>
        </w:num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Ley 872 de 2003 el sistema de gestión de la calidad tendrá́ un enfoque basado en los procesos. </w:t>
      </w:r>
    </w:p>
    <w:p w14:paraId="6CED8D8A" w14:textId="77777777" w:rsidR="00882F40" w:rsidRDefault="00730698">
      <w:pPr>
        <w:numPr>
          <w:ilvl w:val="0"/>
          <w:numId w:val="5"/>
        </w:num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Ley 1712 de 2014, sobre transparencia y acceso a la información. </w:t>
      </w:r>
    </w:p>
    <w:p w14:paraId="705BC996" w14:textId="77777777" w:rsidR="00882F40" w:rsidRDefault="00730698">
      <w:pPr>
        <w:numPr>
          <w:ilvl w:val="0"/>
          <w:numId w:val="5"/>
        </w:num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Decreto 1826 de 1994 mecanismos de evaluación y control de gestión en las organizaciones. </w:t>
      </w:r>
    </w:p>
    <w:p w14:paraId="0C517369" w14:textId="77777777" w:rsidR="00882F40" w:rsidRDefault="00730698">
      <w:pPr>
        <w:numPr>
          <w:ilvl w:val="0"/>
          <w:numId w:val="5"/>
        </w:num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Decreto 019 de 2012 sobre </w:t>
      </w:r>
      <w:proofErr w:type="gramStart"/>
      <w:r>
        <w:rPr>
          <w:rFonts w:ascii="Arial" w:eastAsia="Arial" w:hAnsi="Arial" w:cs="Arial"/>
          <w:color w:val="000000"/>
          <w:sz w:val="24"/>
          <w:szCs w:val="24"/>
        </w:rPr>
        <w:t>anti trámites</w:t>
      </w:r>
      <w:proofErr w:type="gramEnd"/>
      <w:r>
        <w:rPr>
          <w:rFonts w:ascii="Arial" w:eastAsia="Arial" w:hAnsi="Arial" w:cs="Arial"/>
          <w:color w:val="000000"/>
          <w:sz w:val="24"/>
          <w:szCs w:val="24"/>
        </w:rPr>
        <w:t xml:space="preserve">, procedimientos y regulaciones innecesarios. </w:t>
      </w:r>
    </w:p>
    <w:p w14:paraId="2BC5369F" w14:textId="77777777" w:rsidR="00882F40" w:rsidRDefault="00730698">
      <w:pPr>
        <w:numPr>
          <w:ilvl w:val="0"/>
          <w:numId w:val="1"/>
        </w:numPr>
        <w:pBdr>
          <w:top w:val="nil"/>
          <w:left w:val="nil"/>
          <w:bottom w:val="nil"/>
          <w:right w:val="nil"/>
          <w:between w:val="nil"/>
        </w:pBdr>
        <w:spacing w:line="240" w:lineRule="auto"/>
        <w:jc w:val="both"/>
        <w:rPr>
          <w:rFonts w:ascii="Arial" w:eastAsia="Arial" w:hAnsi="Arial" w:cs="Arial"/>
          <w:b/>
          <w:color w:val="000000"/>
          <w:sz w:val="24"/>
          <w:szCs w:val="24"/>
        </w:rPr>
      </w:pPr>
      <w:r>
        <w:rPr>
          <w:rFonts w:ascii="Arial" w:eastAsia="Arial" w:hAnsi="Arial" w:cs="Arial"/>
          <w:b/>
          <w:color w:val="000000"/>
          <w:sz w:val="24"/>
          <w:szCs w:val="24"/>
        </w:rPr>
        <w:t>ASPECTOS DE LOS ACUERDOS DE NIVELES DE SERVICIO - ANS</w:t>
      </w:r>
    </w:p>
    <w:p w14:paraId="47CD436F" w14:textId="77777777" w:rsidR="00882F40" w:rsidRDefault="00730698">
      <w:pPr>
        <w:pBdr>
          <w:top w:val="nil"/>
          <w:left w:val="nil"/>
          <w:bottom w:val="nil"/>
          <w:right w:val="nil"/>
          <w:between w:val="nil"/>
        </w:pBdr>
        <w:spacing w:line="240" w:lineRule="auto"/>
        <w:ind w:left="708"/>
        <w:jc w:val="both"/>
        <w:rPr>
          <w:rFonts w:ascii="Arial" w:eastAsia="Arial" w:hAnsi="Arial" w:cs="Arial"/>
          <w:color w:val="000000"/>
          <w:sz w:val="24"/>
          <w:szCs w:val="24"/>
        </w:rPr>
      </w:pPr>
      <w:r>
        <w:rPr>
          <w:rFonts w:ascii="Arial" w:eastAsia="Arial" w:hAnsi="Arial" w:cs="Arial"/>
          <w:color w:val="000000"/>
          <w:sz w:val="24"/>
          <w:szCs w:val="24"/>
        </w:rPr>
        <w:t xml:space="preserve">Los siguientes aspectos relacionan la categorización </w:t>
      </w:r>
      <w:proofErr w:type="gramStart"/>
      <w:r>
        <w:rPr>
          <w:rFonts w:ascii="Arial" w:eastAsia="Arial" w:hAnsi="Arial" w:cs="Arial"/>
          <w:color w:val="000000"/>
          <w:sz w:val="24"/>
          <w:szCs w:val="24"/>
        </w:rPr>
        <w:t>a</w:t>
      </w:r>
      <w:proofErr w:type="gramEnd"/>
      <w:r>
        <w:rPr>
          <w:rFonts w:ascii="Arial" w:eastAsia="Arial" w:hAnsi="Arial" w:cs="Arial"/>
          <w:color w:val="000000"/>
          <w:sz w:val="24"/>
          <w:szCs w:val="24"/>
        </w:rPr>
        <w:t xml:space="preserve"> tener en cuenta para realizar la medición de los Niveles de Servicio y el tiempo requerido para el cumplimiento de los mismos, así́:</w:t>
      </w:r>
    </w:p>
    <w:p w14:paraId="28A0D2B7" w14:textId="77777777" w:rsidR="00882F40" w:rsidRDefault="00730698">
      <w:pPr>
        <w:numPr>
          <w:ilvl w:val="1"/>
          <w:numId w:val="1"/>
        </w:numPr>
        <w:pBdr>
          <w:top w:val="nil"/>
          <w:left w:val="nil"/>
          <w:bottom w:val="nil"/>
          <w:right w:val="nil"/>
          <w:between w:val="nil"/>
        </w:pBdr>
        <w:spacing w:line="240" w:lineRule="auto"/>
        <w:jc w:val="both"/>
        <w:rPr>
          <w:rFonts w:ascii="Arial" w:eastAsia="Arial" w:hAnsi="Arial" w:cs="Arial"/>
          <w:b/>
          <w:color w:val="000000"/>
          <w:sz w:val="24"/>
          <w:szCs w:val="24"/>
        </w:rPr>
      </w:pPr>
      <w:r>
        <w:rPr>
          <w:rFonts w:ascii="Arial" w:eastAsia="Arial" w:hAnsi="Arial" w:cs="Arial"/>
          <w:b/>
          <w:color w:val="000000"/>
          <w:sz w:val="24"/>
          <w:szCs w:val="24"/>
        </w:rPr>
        <w:t>COTIZACIONES DEL SERVICIO</w:t>
      </w:r>
    </w:p>
    <w:p w14:paraId="3CC084B5" w14:textId="77777777" w:rsidR="00882F40" w:rsidRDefault="00882F40">
      <w:pPr>
        <w:pBdr>
          <w:top w:val="nil"/>
          <w:left w:val="nil"/>
          <w:bottom w:val="nil"/>
          <w:right w:val="nil"/>
          <w:between w:val="nil"/>
        </w:pBdr>
        <w:spacing w:line="240" w:lineRule="auto"/>
        <w:ind w:left="720"/>
        <w:jc w:val="both"/>
        <w:rPr>
          <w:rFonts w:ascii="Arial" w:eastAsia="Arial" w:hAnsi="Arial" w:cs="Arial"/>
          <w:b/>
          <w:color w:val="000000"/>
          <w:sz w:val="24"/>
          <w:szCs w:val="24"/>
        </w:rPr>
      </w:pPr>
    </w:p>
    <w:p w14:paraId="40AFDF82" w14:textId="77777777" w:rsidR="00882F40" w:rsidRDefault="00882F40">
      <w:pPr>
        <w:pBdr>
          <w:top w:val="nil"/>
          <w:left w:val="nil"/>
          <w:bottom w:val="nil"/>
          <w:right w:val="nil"/>
          <w:between w:val="nil"/>
        </w:pBdr>
        <w:spacing w:line="240" w:lineRule="auto"/>
        <w:ind w:left="720"/>
        <w:jc w:val="both"/>
        <w:rPr>
          <w:rFonts w:ascii="Arial" w:eastAsia="Arial" w:hAnsi="Arial" w:cs="Arial"/>
          <w:b/>
          <w:color w:val="000000"/>
          <w:sz w:val="24"/>
          <w:szCs w:val="24"/>
        </w:rPr>
      </w:pPr>
    </w:p>
    <w:tbl>
      <w:tblPr>
        <w:tblStyle w:val="a"/>
        <w:tblW w:w="810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4"/>
        <w:gridCol w:w="2687"/>
        <w:gridCol w:w="2687"/>
      </w:tblGrid>
      <w:tr w:rsidR="00882F40" w14:paraId="196F466C" w14:textId="77777777">
        <w:tc>
          <w:tcPr>
            <w:tcW w:w="2734" w:type="dxa"/>
          </w:tcPr>
          <w:p w14:paraId="361E4A34" w14:textId="77777777" w:rsidR="00882F40" w:rsidRDefault="00730698">
            <w:pPr>
              <w:pBdr>
                <w:top w:val="nil"/>
                <w:left w:val="nil"/>
                <w:bottom w:val="nil"/>
                <w:right w:val="nil"/>
                <w:between w:val="nil"/>
              </w:pBdr>
              <w:jc w:val="both"/>
              <w:rPr>
                <w:rFonts w:ascii="Arial" w:eastAsia="Arial" w:hAnsi="Arial" w:cs="Arial"/>
                <w:b/>
                <w:color w:val="000000"/>
                <w:sz w:val="24"/>
                <w:szCs w:val="24"/>
              </w:rPr>
            </w:pPr>
            <w:r>
              <w:rPr>
                <w:rFonts w:ascii="Arial" w:eastAsia="Arial" w:hAnsi="Arial" w:cs="Arial"/>
                <w:b/>
                <w:color w:val="000000"/>
                <w:sz w:val="24"/>
                <w:szCs w:val="24"/>
              </w:rPr>
              <w:t>Servicio</w:t>
            </w:r>
          </w:p>
        </w:tc>
        <w:tc>
          <w:tcPr>
            <w:tcW w:w="2687" w:type="dxa"/>
          </w:tcPr>
          <w:p w14:paraId="43118DC6" w14:textId="77777777" w:rsidR="00882F40" w:rsidRDefault="00730698">
            <w:pPr>
              <w:pBdr>
                <w:top w:val="nil"/>
                <w:left w:val="nil"/>
                <w:bottom w:val="nil"/>
                <w:right w:val="nil"/>
                <w:between w:val="nil"/>
              </w:pBdr>
              <w:jc w:val="both"/>
              <w:rPr>
                <w:rFonts w:ascii="Arial" w:eastAsia="Arial" w:hAnsi="Arial" w:cs="Arial"/>
                <w:b/>
                <w:color w:val="000000"/>
                <w:sz w:val="24"/>
                <w:szCs w:val="24"/>
              </w:rPr>
            </w:pPr>
            <w:r>
              <w:rPr>
                <w:rFonts w:ascii="Arial" w:eastAsia="Arial" w:hAnsi="Arial" w:cs="Arial"/>
                <w:b/>
                <w:color w:val="000000"/>
                <w:sz w:val="24"/>
                <w:szCs w:val="24"/>
              </w:rPr>
              <w:t>Cotización estándar</w:t>
            </w:r>
          </w:p>
        </w:tc>
        <w:tc>
          <w:tcPr>
            <w:tcW w:w="2687" w:type="dxa"/>
          </w:tcPr>
          <w:p w14:paraId="1378B974" w14:textId="77777777" w:rsidR="00882F40" w:rsidRDefault="00730698">
            <w:pPr>
              <w:pBdr>
                <w:top w:val="nil"/>
                <w:left w:val="nil"/>
                <w:bottom w:val="nil"/>
                <w:right w:val="nil"/>
                <w:between w:val="nil"/>
              </w:pBdr>
              <w:jc w:val="both"/>
              <w:rPr>
                <w:rFonts w:ascii="Arial" w:eastAsia="Arial" w:hAnsi="Arial" w:cs="Arial"/>
                <w:b/>
                <w:color w:val="000000"/>
                <w:sz w:val="24"/>
                <w:szCs w:val="24"/>
              </w:rPr>
            </w:pPr>
            <w:r>
              <w:rPr>
                <w:rFonts w:ascii="Arial" w:eastAsia="Arial" w:hAnsi="Arial" w:cs="Arial"/>
                <w:b/>
                <w:color w:val="000000"/>
                <w:sz w:val="24"/>
                <w:szCs w:val="24"/>
              </w:rPr>
              <w:t>Cotización prioritaria</w:t>
            </w:r>
          </w:p>
        </w:tc>
      </w:tr>
      <w:tr w:rsidR="00882F40" w14:paraId="2AC6AF07" w14:textId="77777777">
        <w:tc>
          <w:tcPr>
            <w:tcW w:w="2734" w:type="dxa"/>
          </w:tcPr>
          <w:p w14:paraId="5CED6850" w14:textId="77777777" w:rsidR="00882F40" w:rsidRDefault="00730698">
            <w:p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Alimentación</w:t>
            </w:r>
          </w:p>
        </w:tc>
        <w:tc>
          <w:tcPr>
            <w:tcW w:w="2687" w:type="dxa"/>
          </w:tcPr>
          <w:p w14:paraId="1AC79F0E" w14:textId="77777777" w:rsidR="00882F40" w:rsidRDefault="00730698">
            <w:p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Entre 4 y hasta 24 Horas</w:t>
            </w:r>
          </w:p>
        </w:tc>
        <w:tc>
          <w:tcPr>
            <w:tcW w:w="2687" w:type="dxa"/>
          </w:tcPr>
          <w:p w14:paraId="772D9554" w14:textId="77777777" w:rsidR="00882F40" w:rsidRDefault="00730698">
            <w:p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Entre 1 y hasta 4 Horas</w:t>
            </w:r>
          </w:p>
        </w:tc>
      </w:tr>
      <w:tr w:rsidR="00882F40" w14:paraId="15E60D52" w14:textId="77777777">
        <w:tc>
          <w:tcPr>
            <w:tcW w:w="2734" w:type="dxa"/>
          </w:tcPr>
          <w:p w14:paraId="23356E98" w14:textId="77777777" w:rsidR="00882F40" w:rsidRDefault="00730698">
            <w:p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Logística Integral ()</w:t>
            </w:r>
          </w:p>
        </w:tc>
        <w:tc>
          <w:tcPr>
            <w:tcW w:w="2687" w:type="dxa"/>
          </w:tcPr>
          <w:p w14:paraId="53E088E5" w14:textId="77777777" w:rsidR="00882F40" w:rsidRDefault="00730698">
            <w:p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Entre 4 y hasta 36 Horas</w:t>
            </w:r>
          </w:p>
        </w:tc>
        <w:tc>
          <w:tcPr>
            <w:tcW w:w="2687" w:type="dxa"/>
          </w:tcPr>
          <w:p w14:paraId="67F0A490" w14:textId="77777777" w:rsidR="00882F40" w:rsidRDefault="00730698">
            <w:p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Entre 1 y hasta 12 Horas</w:t>
            </w:r>
          </w:p>
        </w:tc>
      </w:tr>
    </w:tbl>
    <w:p w14:paraId="3599B092" w14:textId="77777777" w:rsidR="00882F40" w:rsidRDefault="00882F40">
      <w:pPr>
        <w:spacing w:after="0"/>
        <w:ind w:left="1440"/>
        <w:jc w:val="both"/>
        <w:rPr>
          <w:rFonts w:ascii="Arial" w:eastAsia="Arial" w:hAnsi="Arial" w:cs="Arial"/>
          <w:color w:val="000000"/>
          <w:sz w:val="24"/>
          <w:szCs w:val="24"/>
        </w:rPr>
      </w:pPr>
    </w:p>
    <w:p w14:paraId="6417AA34" w14:textId="77777777" w:rsidR="00882F40" w:rsidRDefault="00882F40">
      <w:pPr>
        <w:spacing w:after="0" w:line="240" w:lineRule="auto"/>
        <w:ind w:left="360"/>
        <w:jc w:val="both"/>
        <w:rPr>
          <w:rFonts w:ascii="Arial" w:eastAsia="Arial" w:hAnsi="Arial" w:cs="Arial"/>
          <w:color w:val="000000"/>
          <w:sz w:val="24"/>
          <w:szCs w:val="24"/>
        </w:rPr>
      </w:pPr>
    </w:p>
    <w:p w14:paraId="7AE96C92" w14:textId="77777777" w:rsidR="00882F40" w:rsidRDefault="00730698">
      <w:pPr>
        <w:spacing w:after="0" w:line="240" w:lineRule="auto"/>
        <w:ind w:left="360"/>
        <w:jc w:val="both"/>
        <w:rPr>
          <w:rFonts w:ascii="Arial" w:eastAsia="Arial" w:hAnsi="Arial" w:cs="Arial"/>
          <w:color w:val="000000"/>
          <w:sz w:val="24"/>
          <w:szCs w:val="24"/>
        </w:rPr>
      </w:pPr>
      <w:r>
        <w:rPr>
          <w:rFonts w:ascii="Arial" w:eastAsia="Arial" w:hAnsi="Arial" w:cs="Arial"/>
          <w:b/>
          <w:color w:val="000000"/>
          <w:sz w:val="24"/>
          <w:szCs w:val="24"/>
        </w:rPr>
        <w:t>Observación:</w:t>
      </w:r>
      <w:r>
        <w:rPr>
          <w:rFonts w:ascii="Arial" w:eastAsia="Arial" w:hAnsi="Arial" w:cs="Arial"/>
          <w:color w:val="000000"/>
          <w:sz w:val="24"/>
          <w:szCs w:val="24"/>
        </w:rPr>
        <w:t xml:space="preserve"> La negación a prestar el servicio o la no presentación de cotización en dos (2) oportunidades continuas, podrá constituir causal suficiente para que </w:t>
      </w:r>
      <w:proofErr w:type="gramStart"/>
      <w:r>
        <w:rPr>
          <w:rFonts w:ascii="Arial" w:eastAsia="Arial" w:hAnsi="Arial" w:cs="Arial"/>
          <w:color w:val="000000"/>
          <w:sz w:val="24"/>
          <w:szCs w:val="24"/>
        </w:rPr>
        <w:t>Activa</w:t>
      </w:r>
      <w:proofErr w:type="gramEnd"/>
      <w:r>
        <w:rPr>
          <w:rFonts w:ascii="Arial" w:eastAsia="Arial" w:hAnsi="Arial" w:cs="Arial"/>
          <w:color w:val="000000"/>
          <w:sz w:val="24"/>
          <w:szCs w:val="24"/>
        </w:rPr>
        <w:t xml:space="preserve"> suspenda el envío de solicitudes para presentar ofertas durante (90) noventa días. El medio para establecer la medición del servicio será vía correo electrónico.</w:t>
      </w:r>
    </w:p>
    <w:p w14:paraId="67F71B84" w14:textId="77777777" w:rsidR="00882F40" w:rsidRDefault="00882F40">
      <w:pPr>
        <w:spacing w:after="0" w:line="240" w:lineRule="auto"/>
        <w:ind w:left="360"/>
        <w:jc w:val="both"/>
        <w:rPr>
          <w:rFonts w:ascii="Arial" w:eastAsia="Arial" w:hAnsi="Arial" w:cs="Arial"/>
          <w:color w:val="000000"/>
          <w:sz w:val="24"/>
          <w:szCs w:val="24"/>
        </w:rPr>
      </w:pPr>
    </w:p>
    <w:p w14:paraId="0DE7882C" w14:textId="77777777" w:rsidR="00882F40" w:rsidRDefault="00730698">
      <w:pPr>
        <w:spacing w:after="0" w:line="240" w:lineRule="auto"/>
        <w:ind w:left="360"/>
        <w:jc w:val="both"/>
        <w:rPr>
          <w:rFonts w:ascii="Arial" w:eastAsia="Arial" w:hAnsi="Arial" w:cs="Arial"/>
          <w:color w:val="242424"/>
          <w:sz w:val="24"/>
          <w:szCs w:val="24"/>
        </w:rPr>
      </w:pPr>
      <w:r>
        <w:rPr>
          <w:rFonts w:ascii="Arial" w:eastAsia="Arial" w:hAnsi="Arial" w:cs="Arial"/>
          <w:b/>
          <w:sz w:val="24"/>
          <w:szCs w:val="24"/>
        </w:rPr>
        <w:t>Explicación de la configuración para objetivos de servicio - ANS</w:t>
      </w:r>
    </w:p>
    <w:p w14:paraId="065FC512" w14:textId="77777777" w:rsidR="00882F40" w:rsidRDefault="00730698">
      <w:pPr>
        <w:pBdr>
          <w:top w:val="nil"/>
          <w:left w:val="nil"/>
          <w:bottom w:val="nil"/>
          <w:right w:val="nil"/>
          <w:between w:val="nil"/>
        </w:pBdr>
        <w:spacing w:line="240" w:lineRule="auto"/>
        <w:ind w:left="360"/>
        <w:jc w:val="both"/>
        <w:rPr>
          <w:rFonts w:ascii="Arial" w:eastAsia="Arial" w:hAnsi="Arial" w:cs="Arial"/>
          <w:color w:val="000000"/>
          <w:sz w:val="24"/>
          <w:szCs w:val="24"/>
        </w:rPr>
      </w:pPr>
      <w:r>
        <w:rPr>
          <w:rFonts w:ascii="Arial" w:eastAsia="Arial" w:hAnsi="Arial" w:cs="Arial"/>
          <w:color w:val="000000"/>
          <w:sz w:val="24"/>
          <w:szCs w:val="24"/>
        </w:rPr>
        <w:t>Partiendo de la premisa de que se inicia con la fase de cotización, se denomina:</w:t>
      </w:r>
    </w:p>
    <w:p w14:paraId="23180926" w14:textId="77777777" w:rsidR="00882F40" w:rsidRDefault="00730698">
      <w:pPr>
        <w:pBdr>
          <w:top w:val="nil"/>
          <w:left w:val="nil"/>
          <w:bottom w:val="nil"/>
          <w:right w:val="nil"/>
          <w:between w:val="nil"/>
        </w:pBdr>
        <w:spacing w:line="240" w:lineRule="auto"/>
        <w:ind w:left="360"/>
        <w:jc w:val="both"/>
        <w:rPr>
          <w:rFonts w:ascii="Arial" w:eastAsia="Arial" w:hAnsi="Arial" w:cs="Arial"/>
          <w:color w:val="000000"/>
          <w:sz w:val="24"/>
          <w:szCs w:val="24"/>
        </w:rPr>
      </w:pPr>
      <w:r>
        <w:rPr>
          <w:rFonts w:ascii="Arial" w:eastAsia="Arial" w:hAnsi="Arial" w:cs="Arial"/>
          <w:b/>
          <w:color w:val="000000"/>
          <w:sz w:val="24"/>
          <w:szCs w:val="24"/>
        </w:rPr>
        <w:t>Estándar:</w:t>
      </w:r>
      <w:r>
        <w:rPr>
          <w:rFonts w:ascii="Arial" w:eastAsia="Arial" w:hAnsi="Arial" w:cs="Arial"/>
          <w:color w:val="000000"/>
          <w:sz w:val="24"/>
          <w:szCs w:val="24"/>
        </w:rPr>
        <w:t xml:space="preserve"> Se define como el tiempo prudencial establecido para adquirir el servicio.</w:t>
      </w:r>
    </w:p>
    <w:p w14:paraId="6C23C6D3" w14:textId="77777777" w:rsidR="00882F40" w:rsidRDefault="00730698">
      <w:pPr>
        <w:pBdr>
          <w:top w:val="nil"/>
          <w:left w:val="nil"/>
          <w:bottom w:val="nil"/>
          <w:right w:val="nil"/>
          <w:between w:val="nil"/>
        </w:pBdr>
        <w:spacing w:line="240" w:lineRule="auto"/>
        <w:ind w:left="360"/>
        <w:jc w:val="both"/>
        <w:rPr>
          <w:rFonts w:ascii="Arial" w:eastAsia="Arial" w:hAnsi="Arial" w:cs="Arial"/>
          <w:color w:val="000000"/>
          <w:sz w:val="24"/>
          <w:szCs w:val="24"/>
        </w:rPr>
      </w:pPr>
      <w:r>
        <w:rPr>
          <w:rFonts w:ascii="Arial" w:eastAsia="Arial" w:hAnsi="Arial" w:cs="Arial"/>
          <w:b/>
          <w:color w:val="000000"/>
          <w:sz w:val="24"/>
          <w:szCs w:val="24"/>
        </w:rPr>
        <w:t>Prioritaria:</w:t>
      </w:r>
      <w:r>
        <w:rPr>
          <w:rFonts w:ascii="Arial" w:eastAsia="Arial" w:hAnsi="Arial" w:cs="Arial"/>
          <w:color w:val="000000"/>
          <w:sz w:val="24"/>
          <w:szCs w:val="24"/>
        </w:rPr>
        <w:t xml:space="preserve"> Cuando su operación es crítica, requiere un tiempo menor de cotización</w:t>
      </w:r>
    </w:p>
    <w:p w14:paraId="338F8C8E" w14:textId="77777777" w:rsidR="00882F40" w:rsidRDefault="00730698">
      <w:pPr>
        <w:pBdr>
          <w:top w:val="nil"/>
          <w:left w:val="nil"/>
          <w:bottom w:val="nil"/>
          <w:right w:val="nil"/>
          <w:between w:val="nil"/>
        </w:pBdr>
        <w:spacing w:line="240" w:lineRule="auto"/>
        <w:ind w:left="360"/>
        <w:jc w:val="both"/>
        <w:rPr>
          <w:rFonts w:ascii="Arial" w:eastAsia="Arial" w:hAnsi="Arial" w:cs="Arial"/>
          <w:color w:val="000000"/>
          <w:sz w:val="24"/>
          <w:szCs w:val="24"/>
        </w:rPr>
      </w:pPr>
      <w:r>
        <w:rPr>
          <w:rFonts w:ascii="Arial" w:eastAsia="Arial" w:hAnsi="Arial" w:cs="Arial"/>
          <w:b/>
          <w:color w:val="000000"/>
          <w:sz w:val="24"/>
          <w:szCs w:val="24"/>
        </w:rPr>
        <w:t>Observación:</w:t>
      </w:r>
      <w:r>
        <w:rPr>
          <w:rFonts w:ascii="Arial" w:eastAsia="Arial" w:hAnsi="Arial" w:cs="Arial"/>
          <w:color w:val="000000"/>
          <w:sz w:val="24"/>
          <w:szCs w:val="24"/>
        </w:rPr>
        <w:t xml:space="preserve"> El ejecutivo comercial será quien establezca la configuración de prioridad de urgencia. Así mismo todas las cotizaciones deben cumplir con el tarifario establecido en las condiciones de </w:t>
      </w:r>
      <w:r>
        <w:rPr>
          <w:rFonts w:ascii="Arial" w:eastAsia="Arial" w:hAnsi="Arial" w:cs="Arial"/>
          <w:b/>
          <w:color w:val="000000"/>
          <w:sz w:val="24"/>
          <w:szCs w:val="24"/>
        </w:rPr>
        <w:t>invitación abierta.</w:t>
      </w:r>
    </w:p>
    <w:p w14:paraId="250FFFD3" w14:textId="77777777" w:rsidR="00882F40" w:rsidRDefault="00730698">
      <w:pPr>
        <w:pBdr>
          <w:top w:val="nil"/>
          <w:left w:val="nil"/>
          <w:bottom w:val="nil"/>
          <w:right w:val="nil"/>
          <w:between w:val="nil"/>
        </w:pBdr>
        <w:spacing w:after="0" w:line="240" w:lineRule="auto"/>
        <w:ind w:left="348"/>
        <w:jc w:val="both"/>
        <w:rPr>
          <w:rFonts w:ascii="Arial" w:eastAsia="Arial" w:hAnsi="Arial" w:cs="Arial"/>
          <w:b/>
          <w:color w:val="000000"/>
          <w:sz w:val="24"/>
          <w:szCs w:val="24"/>
        </w:rPr>
      </w:pPr>
      <w:r>
        <w:rPr>
          <w:rFonts w:ascii="Arial" w:eastAsia="Arial" w:hAnsi="Arial" w:cs="Arial"/>
          <w:b/>
          <w:color w:val="000000"/>
          <w:sz w:val="24"/>
          <w:szCs w:val="24"/>
        </w:rPr>
        <w:t>6.2 INFORMES DE EVIDENCIAS DEL SERVICIO</w:t>
      </w:r>
    </w:p>
    <w:p w14:paraId="71D60C21" w14:textId="77777777" w:rsidR="00882F40" w:rsidRDefault="00882F40">
      <w:pPr>
        <w:pBdr>
          <w:top w:val="nil"/>
          <w:left w:val="nil"/>
          <w:bottom w:val="nil"/>
          <w:right w:val="nil"/>
          <w:between w:val="nil"/>
        </w:pBdr>
        <w:spacing w:after="0" w:line="240" w:lineRule="auto"/>
        <w:ind w:left="348"/>
        <w:jc w:val="both"/>
        <w:rPr>
          <w:rFonts w:ascii="Arial" w:eastAsia="Arial" w:hAnsi="Arial" w:cs="Arial"/>
          <w:color w:val="242424"/>
          <w:sz w:val="24"/>
          <w:szCs w:val="24"/>
        </w:rPr>
      </w:pPr>
    </w:p>
    <w:p w14:paraId="3B9C3CF5" w14:textId="77777777" w:rsidR="00882F40" w:rsidRDefault="00730698">
      <w:pPr>
        <w:pBdr>
          <w:top w:val="nil"/>
          <w:left w:val="nil"/>
          <w:bottom w:val="nil"/>
          <w:right w:val="nil"/>
          <w:between w:val="nil"/>
        </w:pBdr>
        <w:spacing w:after="0" w:line="240" w:lineRule="auto"/>
        <w:ind w:left="348"/>
        <w:jc w:val="both"/>
        <w:rPr>
          <w:rFonts w:ascii="Arial" w:eastAsia="Arial" w:hAnsi="Arial" w:cs="Arial"/>
          <w:color w:val="000000"/>
          <w:sz w:val="24"/>
          <w:szCs w:val="24"/>
        </w:rPr>
      </w:pPr>
      <w:r>
        <w:rPr>
          <w:rFonts w:ascii="Arial" w:eastAsia="Arial" w:hAnsi="Arial" w:cs="Arial"/>
          <w:color w:val="000000"/>
          <w:sz w:val="24"/>
          <w:szCs w:val="24"/>
        </w:rPr>
        <w:t xml:space="preserve">Para todos los servicios prestados </w:t>
      </w:r>
      <w:proofErr w:type="gramStart"/>
      <w:r>
        <w:rPr>
          <w:rFonts w:ascii="Arial" w:eastAsia="Arial" w:hAnsi="Arial" w:cs="Arial"/>
          <w:color w:val="000000"/>
          <w:sz w:val="24"/>
          <w:szCs w:val="24"/>
        </w:rPr>
        <w:t>el proveedores</w:t>
      </w:r>
      <w:proofErr w:type="gramEnd"/>
      <w:r>
        <w:rPr>
          <w:rFonts w:ascii="Arial" w:eastAsia="Arial" w:hAnsi="Arial" w:cs="Arial"/>
          <w:color w:val="000000"/>
          <w:sz w:val="24"/>
          <w:szCs w:val="24"/>
        </w:rPr>
        <w:t xml:space="preserve"> deberá presentar informes de evidencias completos y dando cumplimiento a las directrices dentro de los cinco (5) días siguientes a la terminación del evento.</w:t>
      </w:r>
    </w:p>
    <w:p w14:paraId="73DB5D4A" w14:textId="77777777" w:rsidR="00882F40" w:rsidRDefault="00730698">
      <w:pPr>
        <w:pBdr>
          <w:top w:val="nil"/>
          <w:left w:val="nil"/>
          <w:bottom w:val="nil"/>
          <w:right w:val="nil"/>
          <w:between w:val="nil"/>
        </w:pBdr>
        <w:spacing w:after="0" w:line="240" w:lineRule="auto"/>
        <w:ind w:left="348"/>
        <w:jc w:val="both"/>
        <w:rPr>
          <w:rFonts w:ascii="Arial" w:eastAsia="Arial" w:hAnsi="Arial" w:cs="Arial"/>
          <w:color w:val="242424"/>
          <w:sz w:val="24"/>
          <w:szCs w:val="24"/>
        </w:rPr>
      </w:pPr>
      <w:r>
        <w:rPr>
          <w:rFonts w:ascii="Arial" w:eastAsia="Arial" w:hAnsi="Arial" w:cs="Arial"/>
          <w:color w:val="000000"/>
          <w:sz w:val="24"/>
          <w:szCs w:val="24"/>
        </w:rPr>
        <w:t> </w:t>
      </w:r>
    </w:p>
    <w:p w14:paraId="4196DB5D" w14:textId="77777777" w:rsidR="00882F40" w:rsidRDefault="00730698">
      <w:pPr>
        <w:pBdr>
          <w:top w:val="nil"/>
          <w:left w:val="nil"/>
          <w:bottom w:val="nil"/>
          <w:right w:val="nil"/>
          <w:between w:val="nil"/>
        </w:pBdr>
        <w:spacing w:after="0" w:line="240" w:lineRule="auto"/>
        <w:ind w:left="348"/>
        <w:jc w:val="both"/>
        <w:rPr>
          <w:rFonts w:ascii="Arial" w:eastAsia="Arial" w:hAnsi="Arial" w:cs="Arial"/>
          <w:color w:val="242424"/>
          <w:sz w:val="24"/>
          <w:szCs w:val="24"/>
        </w:rPr>
      </w:pPr>
      <w:r>
        <w:rPr>
          <w:rFonts w:ascii="Arial" w:eastAsia="Arial" w:hAnsi="Arial" w:cs="Arial"/>
          <w:color w:val="000000"/>
          <w:sz w:val="24"/>
          <w:szCs w:val="24"/>
        </w:rPr>
        <w:t xml:space="preserve">Conforme a lo anterior, se establece una serie de recomendaciones para la presentación </w:t>
      </w:r>
      <w:proofErr w:type="gramStart"/>
      <w:r>
        <w:rPr>
          <w:rFonts w:ascii="Arial" w:eastAsia="Arial" w:hAnsi="Arial" w:cs="Arial"/>
          <w:color w:val="000000"/>
          <w:sz w:val="24"/>
          <w:szCs w:val="24"/>
        </w:rPr>
        <w:t>del informes</w:t>
      </w:r>
      <w:proofErr w:type="gramEnd"/>
      <w:r>
        <w:rPr>
          <w:rFonts w:ascii="Arial" w:eastAsia="Arial" w:hAnsi="Arial" w:cs="Arial"/>
          <w:color w:val="000000"/>
          <w:sz w:val="24"/>
          <w:szCs w:val="24"/>
        </w:rPr>
        <w:t xml:space="preserve"> de evidencias y requisitos que se deberán implementar al momento de diligenciar el formato así: </w:t>
      </w:r>
    </w:p>
    <w:p w14:paraId="536A65D0" w14:textId="77777777" w:rsidR="00882F40" w:rsidRDefault="00730698">
      <w:pPr>
        <w:numPr>
          <w:ilvl w:val="0"/>
          <w:numId w:val="2"/>
        </w:numPr>
        <w:spacing w:before="280" w:after="0" w:line="240" w:lineRule="auto"/>
        <w:ind w:left="708"/>
        <w:jc w:val="both"/>
        <w:rPr>
          <w:rFonts w:ascii="Arial" w:eastAsia="Arial" w:hAnsi="Arial" w:cs="Arial"/>
          <w:sz w:val="24"/>
          <w:szCs w:val="24"/>
        </w:rPr>
      </w:pPr>
      <w:r>
        <w:rPr>
          <w:rFonts w:ascii="Arial" w:eastAsia="Arial" w:hAnsi="Arial" w:cs="Arial"/>
          <w:sz w:val="24"/>
          <w:szCs w:val="24"/>
        </w:rPr>
        <w:t xml:space="preserve">El informe debe contener evidencias de todos los ítems discriminados en la cotización de forma clara y contundente. </w:t>
      </w:r>
    </w:p>
    <w:p w14:paraId="33D0AD09" w14:textId="77777777" w:rsidR="00882F40" w:rsidRDefault="00730698">
      <w:pPr>
        <w:numPr>
          <w:ilvl w:val="0"/>
          <w:numId w:val="2"/>
        </w:numPr>
        <w:spacing w:after="0" w:line="240" w:lineRule="auto"/>
        <w:ind w:left="708"/>
        <w:jc w:val="both"/>
        <w:rPr>
          <w:rFonts w:ascii="Arial" w:eastAsia="Arial" w:hAnsi="Arial" w:cs="Arial"/>
          <w:sz w:val="24"/>
          <w:szCs w:val="24"/>
        </w:rPr>
      </w:pPr>
      <w:r>
        <w:rPr>
          <w:rFonts w:ascii="Arial" w:eastAsia="Arial" w:hAnsi="Arial" w:cs="Arial"/>
          <w:sz w:val="24"/>
          <w:szCs w:val="24"/>
        </w:rPr>
        <w:lastRenderedPageBreak/>
        <w:t xml:space="preserve">Cada fotografía, planilla o cualquier tipo de evidencia que sea presentada debe contar con un pie de foto con la siguiente información: ítem de la cotización evidenciado (tal y como aparece en la cotización con nombre y descripción), cantidad y Municipio. </w:t>
      </w:r>
    </w:p>
    <w:p w14:paraId="678B0F41" w14:textId="77777777" w:rsidR="00882F40" w:rsidRDefault="00730698">
      <w:pPr>
        <w:numPr>
          <w:ilvl w:val="0"/>
          <w:numId w:val="2"/>
        </w:numPr>
        <w:spacing w:after="0" w:line="240" w:lineRule="auto"/>
        <w:ind w:left="708"/>
        <w:jc w:val="both"/>
        <w:rPr>
          <w:rFonts w:ascii="Arial" w:eastAsia="Arial" w:hAnsi="Arial" w:cs="Arial"/>
          <w:sz w:val="24"/>
          <w:szCs w:val="24"/>
        </w:rPr>
      </w:pPr>
      <w:r>
        <w:rPr>
          <w:rFonts w:ascii="Arial" w:eastAsia="Arial" w:hAnsi="Arial" w:cs="Arial"/>
          <w:sz w:val="24"/>
          <w:szCs w:val="24"/>
        </w:rPr>
        <w:t xml:space="preserve">Las fotografías deben ser legibles y permitir evidenciar el servicio en operación y cantidades. </w:t>
      </w:r>
    </w:p>
    <w:p w14:paraId="5CD51A69" w14:textId="77777777" w:rsidR="00882F40" w:rsidRDefault="00730698">
      <w:pPr>
        <w:numPr>
          <w:ilvl w:val="0"/>
          <w:numId w:val="2"/>
        </w:numPr>
        <w:spacing w:after="0" w:line="240" w:lineRule="auto"/>
        <w:ind w:left="708"/>
        <w:jc w:val="both"/>
        <w:rPr>
          <w:rFonts w:ascii="Arial" w:eastAsia="Arial" w:hAnsi="Arial" w:cs="Arial"/>
          <w:sz w:val="24"/>
          <w:szCs w:val="24"/>
        </w:rPr>
      </w:pPr>
      <w:r>
        <w:rPr>
          <w:rFonts w:ascii="Arial" w:eastAsia="Arial" w:hAnsi="Arial" w:cs="Arial"/>
          <w:sz w:val="24"/>
          <w:szCs w:val="24"/>
        </w:rPr>
        <w:t xml:space="preserve">La remisión debe contener el nombre legible de quien recibe y cargo y/o función en el evento. </w:t>
      </w:r>
    </w:p>
    <w:p w14:paraId="76631A43" w14:textId="77777777" w:rsidR="00882F40" w:rsidRDefault="00730698">
      <w:pPr>
        <w:numPr>
          <w:ilvl w:val="0"/>
          <w:numId w:val="2"/>
        </w:numPr>
        <w:spacing w:after="280" w:line="240" w:lineRule="auto"/>
        <w:ind w:left="708"/>
        <w:jc w:val="both"/>
        <w:rPr>
          <w:rFonts w:ascii="Arial" w:eastAsia="Arial" w:hAnsi="Arial" w:cs="Arial"/>
          <w:sz w:val="24"/>
          <w:szCs w:val="24"/>
        </w:rPr>
      </w:pPr>
      <w:r>
        <w:rPr>
          <w:rFonts w:ascii="Arial" w:eastAsia="Arial" w:hAnsi="Arial" w:cs="Arial"/>
          <w:sz w:val="24"/>
          <w:szCs w:val="24"/>
        </w:rPr>
        <w:t xml:space="preserve">A continuación, se presentan algunos ejemplos de evidencias válidas para soportar la ejecución de los servicios: </w:t>
      </w:r>
    </w:p>
    <w:p w14:paraId="52F380AA" w14:textId="77777777" w:rsidR="00882F40" w:rsidRDefault="00730698">
      <w:pPr>
        <w:numPr>
          <w:ilvl w:val="0"/>
          <w:numId w:val="3"/>
        </w:numPr>
        <w:spacing w:before="280" w:after="0" w:line="240" w:lineRule="auto"/>
        <w:ind w:left="708"/>
        <w:jc w:val="both"/>
        <w:rPr>
          <w:rFonts w:ascii="Arial" w:eastAsia="Arial" w:hAnsi="Arial" w:cs="Arial"/>
          <w:sz w:val="24"/>
          <w:szCs w:val="24"/>
        </w:rPr>
      </w:pPr>
      <w:r>
        <w:rPr>
          <w:rFonts w:ascii="Arial" w:eastAsia="Arial" w:hAnsi="Arial" w:cs="Arial"/>
          <w:b/>
          <w:sz w:val="24"/>
          <w:szCs w:val="24"/>
        </w:rPr>
        <w:t>Transporte</w:t>
      </w:r>
      <w:r>
        <w:rPr>
          <w:rFonts w:ascii="Arial" w:eastAsia="Arial" w:hAnsi="Arial" w:cs="Arial"/>
          <w:sz w:val="24"/>
          <w:szCs w:val="24"/>
        </w:rPr>
        <w:t>: fotografías de los vehículos donde se evidencien las</w:t>
      </w:r>
      <w:r>
        <w:rPr>
          <w:rFonts w:ascii="Arial" w:eastAsia="Arial" w:hAnsi="Arial" w:cs="Arial"/>
          <w:sz w:val="24"/>
          <w:szCs w:val="24"/>
        </w:rPr>
        <w:br/>
        <w:t>personas haciendo uso del servicio. El pie de la foto debe contener la ruta realizada y la cantidad de personas transportadas.</w:t>
      </w:r>
    </w:p>
    <w:p w14:paraId="629BCB34" w14:textId="77777777" w:rsidR="00882F40" w:rsidRDefault="00730698">
      <w:pPr>
        <w:numPr>
          <w:ilvl w:val="0"/>
          <w:numId w:val="3"/>
        </w:numPr>
        <w:spacing w:after="0" w:line="240" w:lineRule="auto"/>
        <w:ind w:left="708"/>
        <w:jc w:val="both"/>
        <w:rPr>
          <w:rFonts w:ascii="Arial" w:eastAsia="Arial" w:hAnsi="Arial" w:cs="Arial"/>
          <w:sz w:val="24"/>
          <w:szCs w:val="24"/>
        </w:rPr>
      </w:pPr>
      <w:r>
        <w:rPr>
          <w:rFonts w:ascii="Arial" w:eastAsia="Arial" w:hAnsi="Arial" w:cs="Arial"/>
          <w:b/>
          <w:sz w:val="24"/>
          <w:szCs w:val="24"/>
        </w:rPr>
        <w:t>Hospedaje</w:t>
      </w:r>
      <w:r>
        <w:rPr>
          <w:rFonts w:ascii="Arial" w:eastAsia="Arial" w:hAnsi="Arial" w:cs="Arial"/>
          <w:sz w:val="24"/>
          <w:szCs w:val="24"/>
        </w:rPr>
        <w:t xml:space="preserve">: fotografías del hotel con personas haciendo uso del servicio. El pie de foto debe contener nombre del hotel, fechas del alojamiento, cantidad de personas, Municipio. En caso de no contar con fotos del servicio se deberá́ presentar como mínimo un certificado emitido por el hotel donde conste el servicio prestado. </w:t>
      </w:r>
    </w:p>
    <w:p w14:paraId="0DCF74BE" w14:textId="77777777" w:rsidR="00882F40" w:rsidRDefault="00730698">
      <w:pPr>
        <w:numPr>
          <w:ilvl w:val="0"/>
          <w:numId w:val="3"/>
        </w:numPr>
        <w:spacing w:after="280" w:line="240" w:lineRule="auto"/>
        <w:ind w:left="708"/>
        <w:jc w:val="both"/>
        <w:rPr>
          <w:rFonts w:ascii="Arial" w:eastAsia="Arial" w:hAnsi="Arial" w:cs="Arial"/>
          <w:sz w:val="24"/>
          <w:szCs w:val="24"/>
        </w:rPr>
      </w:pPr>
      <w:r>
        <w:rPr>
          <w:rFonts w:ascii="Arial" w:eastAsia="Arial" w:hAnsi="Arial" w:cs="Arial"/>
          <w:b/>
          <w:sz w:val="24"/>
          <w:szCs w:val="24"/>
        </w:rPr>
        <w:t>Auxilio de transporte</w:t>
      </w:r>
      <w:r>
        <w:rPr>
          <w:rFonts w:ascii="Arial" w:eastAsia="Arial" w:hAnsi="Arial" w:cs="Arial"/>
          <w:sz w:val="24"/>
          <w:szCs w:val="24"/>
        </w:rPr>
        <w:t xml:space="preserve">: cuando el operador logístico debe entregar dinero en efectivo y/o transferencia al personal beneficiado (en este caso se da el tratamiento de pagos a terceros). Deberá́ aportar recibos de caja y/o planillas con el valor entregado a cada persona, con nombre legible y valor en números. El recibo de caja y/o la planilla debe estar firmado por el beneficiario y la suma de todos los recibos de caja debe corresponder con el valor del pago a terceros que será́ facturado por el operador logístico. En los casos que se utilicen plataformas como Gana, se podrá́ evidenciar con el recibo entregado por dicho operador, en el que aparece nombre, cedula y valor transferido. </w:t>
      </w:r>
    </w:p>
    <w:p w14:paraId="6ABE513F" w14:textId="77777777" w:rsidR="00882F40" w:rsidRDefault="00730698">
      <w:pPr>
        <w:spacing w:before="280" w:after="280" w:line="240" w:lineRule="auto"/>
        <w:ind w:left="360"/>
        <w:jc w:val="both"/>
        <w:rPr>
          <w:rFonts w:ascii="Arial" w:eastAsia="Arial" w:hAnsi="Arial" w:cs="Arial"/>
          <w:sz w:val="24"/>
          <w:szCs w:val="24"/>
        </w:rPr>
      </w:pPr>
      <w:r>
        <w:rPr>
          <w:rFonts w:ascii="Arial" w:eastAsia="Arial" w:hAnsi="Arial" w:cs="Arial"/>
          <w:sz w:val="24"/>
          <w:szCs w:val="24"/>
        </w:rPr>
        <w:t xml:space="preserve">El pie de foto debe definir el valor final a facturar por concepto de pagos a terceros. </w:t>
      </w:r>
    </w:p>
    <w:p w14:paraId="223FCEE1" w14:textId="77777777" w:rsidR="00882F40" w:rsidRDefault="00730698">
      <w:pPr>
        <w:numPr>
          <w:ilvl w:val="0"/>
          <w:numId w:val="3"/>
        </w:numPr>
        <w:spacing w:before="280" w:after="280" w:line="240" w:lineRule="auto"/>
        <w:jc w:val="both"/>
        <w:rPr>
          <w:rFonts w:ascii="Arial" w:eastAsia="Arial" w:hAnsi="Arial" w:cs="Arial"/>
          <w:sz w:val="24"/>
          <w:szCs w:val="24"/>
        </w:rPr>
      </w:pPr>
      <w:r>
        <w:rPr>
          <w:rFonts w:ascii="Arial" w:eastAsia="Arial" w:hAnsi="Arial" w:cs="Arial"/>
          <w:b/>
          <w:sz w:val="24"/>
          <w:szCs w:val="24"/>
        </w:rPr>
        <w:t>Alimentación</w:t>
      </w:r>
      <w:r>
        <w:rPr>
          <w:rFonts w:ascii="Arial" w:eastAsia="Arial" w:hAnsi="Arial" w:cs="Arial"/>
          <w:sz w:val="24"/>
          <w:szCs w:val="24"/>
        </w:rPr>
        <w:t xml:space="preserve">: fotografías del menú́ entregado, tanto en primer plano para mostrar el contenido, como planos abiertos que permitan visualizar la cantidad total, y cuando el servicio lo permita imágenes de los beneficiarios consumiendo el producto. Si en el servicio de alimentación se incluyen meseros, tablones, menajes y demás, se deberán presentar imágenes que soporten todo esto. </w:t>
      </w:r>
    </w:p>
    <w:p w14:paraId="04F06449" w14:textId="77777777" w:rsidR="00882F40" w:rsidRDefault="00730698">
      <w:pPr>
        <w:spacing w:before="280" w:after="280" w:line="240" w:lineRule="auto"/>
        <w:ind w:left="360"/>
        <w:jc w:val="both"/>
        <w:rPr>
          <w:rFonts w:ascii="Arial" w:eastAsia="Arial" w:hAnsi="Arial" w:cs="Arial"/>
          <w:sz w:val="24"/>
          <w:szCs w:val="24"/>
        </w:rPr>
      </w:pPr>
      <w:r>
        <w:rPr>
          <w:rFonts w:ascii="Arial" w:eastAsia="Arial" w:hAnsi="Arial" w:cs="Arial"/>
          <w:sz w:val="24"/>
          <w:szCs w:val="24"/>
        </w:rPr>
        <w:lastRenderedPageBreak/>
        <w:t xml:space="preserve">Adicional el pie de foto debe contener menú́, cantidad entregada, fecha y hora de entrega. </w:t>
      </w:r>
    </w:p>
    <w:p w14:paraId="1543F021" w14:textId="77777777" w:rsidR="00882F40" w:rsidRDefault="00730698">
      <w:pPr>
        <w:numPr>
          <w:ilvl w:val="0"/>
          <w:numId w:val="3"/>
        </w:numPr>
        <w:spacing w:before="280" w:after="0" w:line="240" w:lineRule="auto"/>
        <w:ind w:left="360"/>
        <w:jc w:val="both"/>
        <w:rPr>
          <w:rFonts w:ascii="Arial" w:eastAsia="Arial" w:hAnsi="Arial" w:cs="Arial"/>
          <w:sz w:val="24"/>
          <w:szCs w:val="24"/>
        </w:rPr>
      </w:pPr>
      <w:r>
        <w:rPr>
          <w:rFonts w:ascii="Arial" w:eastAsia="Arial" w:hAnsi="Arial" w:cs="Arial"/>
          <w:b/>
          <w:sz w:val="24"/>
          <w:szCs w:val="24"/>
        </w:rPr>
        <w:t>Recursos técnicos</w:t>
      </w:r>
      <w:r>
        <w:rPr>
          <w:rFonts w:ascii="Arial" w:eastAsia="Arial" w:hAnsi="Arial" w:cs="Arial"/>
          <w:sz w:val="24"/>
          <w:szCs w:val="24"/>
        </w:rPr>
        <w:t xml:space="preserve">: incluir fotografías de todos y cada uno de los ítems relacionados en la cotización. En el pie de foto nombrarlos, ejemplo: luces led, carpa 4x4, micrófono </w:t>
      </w:r>
      <w:proofErr w:type="spellStart"/>
      <w:r>
        <w:rPr>
          <w:rFonts w:ascii="Arial" w:eastAsia="Arial" w:hAnsi="Arial" w:cs="Arial"/>
          <w:sz w:val="24"/>
          <w:szCs w:val="24"/>
        </w:rPr>
        <w:t>countryman</w:t>
      </w:r>
      <w:proofErr w:type="spellEnd"/>
      <w:r>
        <w:rPr>
          <w:rFonts w:ascii="Arial" w:eastAsia="Arial" w:hAnsi="Arial" w:cs="Arial"/>
          <w:sz w:val="24"/>
          <w:szCs w:val="24"/>
        </w:rPr>
        <w:t xml:space="preserve">, pantalla led, cabina de sonido, entre otros, con las respectivas cantidades. </w:t>
      </w:r>
    </w:p>
    <w:p w14:paraId="6A5FF0E3" w14:textId="77777777" w:rsidR="00882F40" w:rsidRDefault="00730698">
      <w:pPr>
        <w:numPr>
          <w:ilvl w:val="0"/>
          <w:numId w:val="3"/>
        </w:numPr>
        <w:spacing w:after="280" w:line="240" w:lineRule="auto"/>
        <w:ind w:left="360"/>
        <w:jc w:val="both"/>
        <w:rPr>
          <w:rFonts w:ascii="Arial" w:eastAsia="Arial" w:hAnsi="Arial" w:cs="Arial"/>
          <w:sz w:val="24"/>
          <w:szCs w:val="24"/>
        </w:rPr>
      </w:pPr>
      <w:r>
        <w:rPr>
          <w:rFonts w:ascii="Arial" w:eastAsia="Arial" w:hAnsi="Arial" w:cs="Arial"/>
          <w:b/>
          <w:sz w:val="24"/>
          <w:szCs w:val="24"/>
        </w:rPr>
        <w:t>Suministros</w:t>
      </w:r>
      <w:r>
        <w:rPr>
          <w:rFonts w:ascii="Arial" w:eastAsia="Arial" w:hAnsi="Arial" w:cs="Arial"/>
          <w:sz w:val="24"/>
          <w:szCs w:val="24"/>
        </w:rPr>
        <w:t xml:space="preserve">: aplica para material POP, medallas, placas, camisetas y en general bienes de consumo. Se deberá́ incluir una foto en detalle de lo entregado y otras en plano general que permita ver la cantidad entregada. Cuando sea posible se debe incluir foto con el cliente recibiendo los bienes. </w:t>
      </w:r>
    </w:p>
    <w:p w14:paraId="7DA91891" w14:textId="77777777" w:rsidR="00882F40" w:rsidRDefault="00730698">
      <w:pPr>
        <w:spacing w:before="280" w:after="280" w:line="240" w:lineRule="auto"/>
        <w:ind w:left="360"/>
        <w:jc w:val="both"/>
        <w:rPr>
          <w:rFonts w:ascii="Arial" w:eastAsia="Arial" w:hAnsi="Arial" w:cs="Arial"/>
          <w:sz w:val="24"/>
          <w:szCs w:val="24"/>
        </w:rPr>
      </w:pPr>
      <w:r>
        <w:rPr>
          <w:rFonts w:ascii="Arial" w:eastAsia="Arial" w:hAnsi="Arial" w:cs="Arial"/>
          <w:sz w:val="24"/>
          <w:szCs w:val="24"/>
        </w:rPr>
        <w:t xml:space="preserve">En el pie de foto incluir el nombre y la cantidad entregada. </w:t>
      </w:r>
    </w:p>
    <w:p w14:paraId="5B20664A" w14:textId="77777777" w:rsidR="00882F40" w:rsidRDefault="00730698">
      <w:pPr>
        <w:numPr>
          <w:ilvl w:val="0"/>
          <w:numId w:val="3"/>
        </w:numPr>
        <w:spacing w:before="280" w:after="280" w:line="240" w:lineRule="auto"/>
        <w:ind w:left="360"/>
        <w:jc w:val="both"/>
        <w:rPr>
          <w:rFonts w:ascii="Arial" w:eastAsia="Arial" w:hAnsi="Arial" w:cs="Arial"/>
          <w:sz w:val="24"/>
          <w:szCs w:val="24"/>
        </w:rPr>
      </w:pPr>
      <w:r>
        <w:rPr>
          <w:rFonts w:ascii="Arial" w:eastAsia="Arial" w:hAnsi="Arial" w:cs="Arial"/>
          <w:b/>
          <w:sz w:val="24"/>
          <w:szCs w:val="24"/>
        </w:rPr>
        <w:t>Alquiler de espacios</w:t>
      </w:r>
      <w:r>
        <w:rPr>
          <w:rFonts w:ascii="Arial" w:eastAsia="Arial" w:hAnsi="Arial" w:cs="Arial"/>
          <w:sz w:val="24"/>
          <w:szCs w:val="24"/>
        </w:rPr>
        <w:t xml:space="preserve">: fotografías que permitan evidenciar el espacio contratado. Cuando previo acuerdo sea ejecutado como pagos a terceros se deberá́ presentar lo definido en el contrato para este aspecto. </w:t>
      </w:r>
    </w:p>
    <w:p w14:paraId="05010937" w14:textId="77777777" w:rsidR="00882F40" w:rsidRDefault="00730698">
      <w:pPr>
        <w:spacing w:before="280" w:after="280" w:line="240" w:lineRule="auto"/>
        <w:ind w:left="360"/>
        <w:jc w:val="both"/>
        <w:rPr>
          <w:rFonts w:ascii="Arial" w:eastAsia="Arial" w:hAnsi="Arial" w:cs="Arial"/>
          <w:sz w:val="24"/>
          <w:szCs w:val="24"/>
        </w:rPr>
      </w:pPr>
      <w:r>
        <w:rPr>
          <w:rFonts w:ascii="Arial" w:eastAsia="Arial" w:hAnsi="Arial" w:cs="Arial"/>
          <w:sz w:val="24"/>
          <w:szCs w:val="24"/>
        </w:rPr>
        <w:t xml:space="preserve">El pie de foto debe incluir el nombre del espacio y fecha del evento desde el montaje hasta el desmontaje. </w:t>
      </w:r>
    </w:p>
    <w:p w14:paraId="13CB3EC7" w14:textId="77777777" w:rsidR="00882F40" w:rsidRDefault="00730698">
      <w:pPr>
        <w:spacing w:before="280" w:after="280" w:line="240" w:lineRule="auto"/>
        <w:ind w:left="360"/>
        <w:jc w:val="both"/>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sz w:val="24"/>
          <w:szCs w:val="24"/>
        </w:rPr>
        <w:t xml:space="preserve">Vinculaciones a eventos de terceros: </w:t>
      </w:r>
      <w:r>
        <w:rPr>
          <w:rFonts w:ascii="Arial" w:eastAsia="Arial" w:hAnsi="Arial" w:cs="Arial"/>
          <w:sz w:val="24"/>
          <w:szCs w:val="24"/>
        </w:rPr>
        <w:t xml:space="preserve">cuando el operador deba entregar un recurso para un evento realizado por otra empresa, tendrá́ el tratamiento de pagos a terceros y además de presentar fotografías del evento una vez ejecutado, deberá́ aportar el comprobante de pago al organizador. </w:t>
      </w:r>
    </w:p>
    <w:p w14:paraId="773409D1" w14:textId="77777777" w:rsidR="00882F40" w:rsidRDefault="00730698">
      <w:pPr>
        <w:spacing w:before="280" w:after="280" w:line="240" w:lineRule="auto"/>
        <w:ind w:left="360"/>
        <w:jc w:val="both"/>
        <w:rPr>
          <w:rFonts w:ascii="Arial" w:eastAsia="Arial" w:hAnsi="Arial" w:cs="Arial"/>
          <w:sz w:val="24"/>
          <w:szCs w:val="24"/>
        </w:rPr>
      </w:pPr>
      <w:r>
        <w:rPr>
          <w:rFonts w:ascii="Arial" w:eastAsia="Arial" w:hAnsi="Arial" w:cs="Arial"/>
          <w:b/>
          <w:sz w:val="24"/>
          <w:szCs w:val="24"/>
        </w:rPr>
        <w:t>Observación:</w:t>
      </w:r>
      <w:r>
        <w:rPr>
          <w:rFonts w:ascii="Arial" w:eastAsia="Arial" w:hAnsi="Arial" w:cs="Arial"/>
          <w:sz w:val="24"/>
          <w:szCs w:val="24"/>
        </w:rPr>
        <w:t xml:space="preserve"> Lo anterior son ejemplos de algunos ítems que se presentan en los servicios de forma frecuente, sin embargo, es responsabilidad del operador logístico presentar evidencias claras y completas de todos los bienes y servicios entregados en una Orden de Pedido. </w:t>
      </w:r>
    </w:p>
    <w:p w14:paraId="2269999A" w14:textId="77777777" w:rsidR="00882F40" w:rsidRDefault="00730698">
      <w:pPr>
        <w:numPr>
          <w:ilvl w:val="0"/>
          <w:numId w:val="4"/>
        </w:numPr>
        <w:spacing w:before="280" w:after="0" w:line="240" w:lineRule="auto"/>
        <w:ind w:left="360"/>
        <w:jc w:val="both"/>
        <w:rPr>
          <w:rFonts w:ascii="Arial" w:eastAsia="Arial" w:hAnsi="Arial" w:cs="Arial"/>
          <w:sz w:val="24"/>
          <w:szCs w:val="24"/>
        </w:rPr>
      </w:pPr>
      <w:r>
        <w:rPr>
          <w:rFonts w:ascii="Arial" w:eastAsia="Arial" w:hAnsi="Arial" w:cs="Arial"/>
          <w:sz w:val="24"/>
          <w:szCs w:val="24"/>
        </w:rPr>
        <w:t>Al momento de radicar en Activa las facturas con los informes de</w:t>
      </w:r>
      <w:r>
        <w:rPr>
          <w:rFonts w:ascii="Arial" w:eastAsia="Arial" w:hAnsi="Arial" w:cs="Arial"/>
          <w:sz w:val="24"/>
          <w:szCs w:val="24"/>
        </w:rPr>
        <w:br/>
        <w:t xml:space="preserve">evidencias se deberán entregar 1 copia, a doble cara y en cada página imprimir máximo 2 diapositivas de forma tal que el documento impreso sea legible. </w:t>
      </w:r>
    </w:p>
    <w:p w14:paraId="48367A64" w14:textId="77777777" w:rsidR="00882F40" w:rsidRDefault="00730698">
      <w:pPr>
        <w:numPr>
          <w:ilvl w:val="0"/>
          <w:numId w:val="4"/>
        </w:numPr>
        <w:spacing w:after="0" w:line="240" w:lineRule="auto"/>
        <w:ind w:left="360"/>
        <w:jc w:val="both"/>
        <w:rPr>
          <w:rFonts w:ascii="Arial" w:eastAsia="Arial" w:hAnsi="Arial" w:cs="Arial"/>
          <w:sz w:val="24"/>
          <w:szCs w:val="24"/>
        </w:rPr>
      </w:pPr>
      <w:r>
        <w:rPr>
          <w:rFonts w:ascii="Arial" w:eastAsia="Arial" w:hAnsi="Arial" w:cs="Arial"/>
          <w:sz w:val="24"/>
          <w:szCs w:val="24"/>
        </w:rPr>
        <w:t xml:space="preserve">En la diapositiva del informe de evidencias donde se incluye la cotización aprobada, en caso de facturar menores ítems y/o cantidades, el proveedor deberá́ poner una nota especificando el cambio, donde quede claro que no se realizaron todos los ítems de la cotización. </w:t>
      </w:r>
      <w:proofErr w:type="gramStart"/>
      <w:r>
        <w:rPr>
          <w:rFonts w:ascii="Arial" w:eastAsia="Arial" w:hAnsi="Arial" w:cs="Arial"/>
          <w:sz w:val="24"/>
          <w:szCs w:val="24"/>
        </w:rPr>
        <w:t>Igualmente</w:t>
      </w:r>
      <w:proofErr w:type="gramEnd"/>
      <w:r>
        <w:rPr>
          <w:rFonts w:ascii="Arial" w:eastAsia="Arial" w:hAnsi="Arial" w:cs="Arial"/>
          <w:sz w:val="24"/>
          <w:szCs w:val="24"/>
        </w:rPr>
        <w:t xml:space="preserve"> cuando sea un informe parcial de una orden de pedido, se deberá́ poner la nota aclaratoria. </w:t>
      </w:r>
    </w:p>
    <w:p w14:paraId="6D02392C" w14:textId="77777777" w:rsidR="00882F40" w:rsidRDefault="00730698">
      <w:pPr>
        <w:numPr>
          <w:ilvl w:val="0"/>
          <w:numId w:val="4"/>
        </w:numPr>
        <w:spacing w:after="280" w:line="240" w:lineRule="auto"/>
        <w:ind w:left="360"/>
        <w:jc w:val="both"/>
        <w:rPr>
          <w:rFonts w:ascii="Arial" w:eastAsia="Arial" w:hAnsi="Arial" w:cs="Arial"/>
          <w:sz w:val="24"/>
          <w:szCs w:val="24"/>
        </w:rPr>
      </w:pPr>
      <w:r>
        <w:rPr>
          <w:rFonts w:ascii="Arial" w:eastAsia="Arial" w:hAnsi="Arial" w:cs="Arial"/>
          <w:sz w:val="24"/>
          <w:szCs w:val="24"/>
        </w:rPr>
        <w:t>Facturación a Activa</w:t>
      </w:r>
      <w:r>
        <w:rPr>
          <w:rFonts w:ascii="Arial" w:eastAsia="Arial" w:hAnsi="Arial" w:cs="Arial"/>
          <w:b/>
          <w:sz w:val="24"/>
          <w:szCs w:val="24"/>
        </w:rPr>
        <w:t xml:space="preserve">: </w:t>
      </w:r>
      <w:r>
        <w:rPr>
          <w:rFonts w:ascii="Arial" w:eastAsia="Arial" w:hAnsi="Arial" w:cs="Arial"/>
          <w:sz w:val="24"/>
          <w:szCs w:val="24"/>
        </w:rPr>
        <w:t xml:space="preserve">cuando un operador logístico durante un mes ejecute varias Ordenes de Pedido para un mismo cliente, deberá́ incluir en una misma </w:t>
      </w:r>
      <w:r>
        <w:rPr>
          <w:rFonts w:ascii="Arial" w:eastAsia="Arial" w:hAnsi="Arial" w:cs="Arial"/>
          <w:sz w:val="24"/>
          <w:szCs w:val="24"/>
        </w:rPr>
        <w:lastRenderedPageBreak/>
        <w:t xml:space="preserve">factura tantas OP como sea posible. La condición es que en la factura cada OP sea facturada como un ítem separado así́: </w:t>
      </w:r>
    </w:p>
    <w:p w14:paraId="09584DF1" w14:textId="77777777" w:rsidR="00882F40" w:rsidRDefault="00730698">
      <w:pPr>
        <w:spacing w:after="0" w:line="240" w:lineRule="auto"/>
        <w:ind w:left="348"/>
        <w:jc w:val="both"/>
        <w:rPr>
          <w:rFonts w:ascii="Arial" w:eastAsia="Arial" w:hAnsi="Arial" w:cs="Arial"/>
          <w:sz w:val="24"/>
          <w:szCs w:val="24"/>
        </w:rPr>
      </w:pPr>
      <w:r>
        <w:rPr>
          <w:rFonts w:ascii="Arial" w:eastAsia="Arial" w:hAnsi="Arial" w:cs="Arial"/>
          <w:noProof/>
          <w:sz w:val="24"/>
          <w:szCs w:val="24"/>
        </w:rPr>
        <w:drawing>
          <wp:inline distT="0" distB="0" distL="0" distR="0" wp14:anchorId="77482A92" wp14:editId="2696269D">
            <wp:extent cx="5399063" cy="1479472"/>
            <wp:effectExtent l="0" t="0" r="0" b="0"/>
            <wp:docPr id="1144689201" name="image2.png" descr="page3image131397232"/>
            <wp:cNvGraphicFramePr/>
            <a:graphic xmlns:a="http://schemas.openxmlformats.org/drawingml/2006/main">
              <a:graphicData uri="http://schemas.openxmlformats.org/drawingml/2006/picture">
                <pic:pic xmlns:pic="http://schemas.openxmlformats.org/drawingml/2006/picture">
                  <pic:nvPicPr>
                    <pic:cNvPr id="0" name="image2.png" descr="page3image131397232"/>
                    <pic:cNvPicPr preferRelativeResize="0"/>
                  </pic:nvPicPr>
                  <pic:blipFill>
                    <a:blip r:embed="rId11"/>
                    <a:srcRect/>
                    <a:stretch>
                      <a:fillRect/>
                    </a:stretch>
                  </pic:blipFill>
                  <pic:spPr>
                    <a:xfrm>
                      <a:off x="0" y="0"/>
                      <a:ext cx="5399063" cy="1479472"/>
                    </a:xfrm>
                    <a:prstGeom prst="rect">
                      <a:avLst/>
                    </a:prstGeom>
                    <a:ln/>
                  </pic:spPr>
                </pic:pic>
              </a:graphicData>
            </a:graphic>
          </wp:inline>
        </w:drawing>
      </w:r>
    </w:p>
    <w:p w14:paraId="1BB2BAE5" w14:textId="77777777" w:rsidR="00882F40" w:rsidRDefault="00730698">
      <w:pPr>
        <w:spacing w:before="280" w:after="280" w:line="240" w:lineRule="auto"/>
        <w:ind w:left="348"/>
        <w:jc w:val="both"/>
        <w:rPr>
          <w:rFonts w:ascii="Arial" w:eastAsia="Arial" w:hAnsi="Arial" w:cs="Arial"/>
          <w:color w:val="000000"/>
          <w:sz w:val="24"/>
          <w:szCs w:val="24"/>
        </w:rPr>
      </w:pPr>
      <w:r>
        <w:rPr>
          <w:rFonts w:ascii="Arial" w:eastAsia="Arial" w:hAnsi="Arial" w:cs="Arial"/>
          <w:b/>
          <w:sz w:val="24"/>
          <w:szCs w:val="24"/>
        </w:rPr>
        <w:t xml:space="preserve">Observación: </w:t>
      </w:r>
      <w:r>
        <w:rPr>
          <w:rFonts w:ascii="Arial" w:eastAsia="Arial" w:hAnsi="Arial" w:cs="Arial"/>
          <w:sz w:val="24"/>
          <w:szCs w:val="24"/>
        </w:rPr>
        <w:t>si un operador logístico ejecuta servicios para varios clientes de Activa, se deberán generar facturas por cada uno de ellos. Así mismo</w:t>
      </w:r>
      <w:r>
        <w:rPr>
          <w:rFonts w:ascii="Arial" w:eastAsia="Arial" w:hAnsi="Arial" w:cs="Arial"/>
          <w:color w:val="000000"/>
          <w:sz w:val="24"/>
          <w:szCs w:val="24"/>
        </w:rPr>
        <w:t xml:space="preserve"> el no cumplimiento de los tiempos establecidos para los informes de evidencias podrá constituir causal suficiente para que </w:t>
      </w:r>
      <w:proofErr w:type="gramStart"/>
      <w:r>
        <w:rPr>
          <w:rFonts w:ascii="Arial" w:eastAsia="Arial" w:hAnsi="Arial" w:cs="Arial"/>
          <w:color w:val="000000"/>
          <w:sz w:val="24"/>
          <w:szCs w:val="24"/>
        </w:rPr>
        <w:t>Activa</w:t>
      </w:r>
      <w:proofErr w:type="gramEnd"/>
      <w:r>
        <w:rPr>
          <w:rFonts w:ascii="Arial" w:eastAsia="Arial" w:hAnsi="Arial" w:cs="Arial"/>
          <w:color w:val="000000"/>
          <w:sz w:val="24"/>
          <w:szCs w:val="24"/>
        </w:rPr>
        <w:t xml:space="preserve"> suspenda el envío de solicitudes para presentar ofertas durante (90) noventa días, toda vez que los ingresos de Activa dependen directamente de la legalización de cada servicio.</w:t>
      </w:r>
    </w:p>
    <w:p w14:paraId="32B89A57" w14:textId="77777777" w:rsidR="00882F40" w:rsidRDefault="00730698">
      <w:pPr>
        <w:pBdr>
          <w:top w:val="nil"/>
          <w:left w:val="nil"/>
          <w:bottom w:val="nil"/>
          <w:right w:val="nil"/>
          <w:between w:val="nil"/>
        </w:pBdr>
        <w:spacing w:after="0" w:line="240" w:lineRule="auto"/>
        <w:ind w:left="348"/>
        <w:jc w:val="both"/>
        <w:rPr>
          <w:rFonts w:ascii="Arial" w:eastAsia="Arial" w:hAnsi="Arial" w:cs="Arial"/>
          <w:b/>
          <w:color w:val="242424"/>
          <w:sz w:val="24"/>
          <w:szCs w:val="24"/>
        </w:rPr>
      </w:pPr>
      <w:r>
        <w:rPr>
          <w:rFonts w:ascii="Arial" w:eastAsia="Arial" w:hAnsi="Arial" w:cs="Arial"/>
          <w:b/>
          <w:color w:val="000000"/>
          <w:sz w:val="24"/>
          <w:szCs w:val="24"/>
        </w:rPr>
        <w:t>6.3. FACTURACIÓN DEL SERVICIO</w:t>
      </w:r>
    </w:p>
    <w:p w14:paraId="6F05C974" w14:textId="77777777" w:rsidR="00882F40" w:rsidRDefault="00730698">
      <w:pPr>
        <w:pBdr>
          <w:top w:val="nil"/>
          <w:left w:val="nil"/>
          <w:bottom w:val="nil"/>
          <w:right w:val="nil"/>
          <w:between w:val="nil"/>
        </w:pBdr>
        <w:spacing w:after="0" w:line="240" w:lineRule="auto"/>
        <w:ind w:left="348"/>
        <w:jc w:val="both"/>
        <w:rPr>
          <w:rFonts w:ascii="Arial" w:eastAsia="Arial" w:hAnsi="Arial" w:cs="Arial"/>
          <w:color w:val="242424"/>
          <w:sz w:val="24"/>
          <w:szCs w:val="24"/>
        </w:rPr>
      </w:pPr>
      <w:r>
        <w:rPr>
          <w:rFonts w:ascii="Arial" w:eastAsia="Arial" w:hAnsi="Arial" w:cs="Arial"/>
          <w:color w:val="000000"/>
          <w:sz w:val="24"/>
          <w:szCs w:val="24"/>
        </w:rPr>
        <w:t> </w:t>
      </w:r>
    </w:p>
    <w:p w14:paraId="4C0E5CC7" w14:textId="77777777" w:rsidR="00882F40" w:rsidRDefault="00730698">
      <w:pPr>
        <w:pBdr>
          <w:top w:val="nil"/>
          <w:left w:val="nil"/>
          <w:bottom w:val="nil"/>
          <w:right w:val="nil"/>
          <w:between w:val="nil"/>
        </w:pBdr>
        <w:spacing w:after="0" w:line="240" w:lineRule="auto"/>
        <w:ind w:left="348"/>
        <w:jc w:val="both"/>
        <w:rPr>
          <w:rFonts w:ascii="Arial" w:eastAsia="Arial" w:hAnsi="Arial" w:cs="Arial"/>
          <w:color w:val="242424"/>
          <w:sz w:val="24"/>
          <w:szCs w:val="24"/>
        </w:rPr>
      </w:pPr>
      <w:r>
        <w:rPr>
          <w:rFonts w:ascii="Arial" w:eastAsia="Arial" w:hAnsi="Arial" w:cs="Arial"/>
          <w:color w:val="000000"/>
          <w:sz w:val="24"/>
          <w:szCs w:val="24"/>
        </w:rPr>
        <w:t>Una vez aprobado por Activa el informe de evidencias, el operador deberá generar la correspondiente factura y la radicación física, dentro de los (3) tres días siguientes.</w:t>
      </w:r>
    </w:p>
    <w:p w14:paraId="5E0A1F06" w14:textId="77777777" w:rsidR="00882F40" w:rsidRDefault="00882F40">
      <w:pPr>
        <w:pBdr>
          <w:top w:val="nil"/>
          <w:left w:val="nil"/>
          <w:bottom w:val="nil"/>
          <w:right w:val="nil"/>
          <w:between w:val="nil"/>
        </w:pBdr>
        <w:spacing w:after="0" w:line="240" w:lineRule="auto"/>
        <w:ind w:left="348"/>
        <w:jc w:val="both"/>
        <w:rPr>
          <w:rFonts w:ascii="Arial" w:eastAsia="Arial" w:hAnsi="Arial" w:cs="Arial"/>
          <w:color w:val="000000"/>
          <w:sz w:val="24"/>
          <w:szCs w:val="24"/>
        </w:rPr>
      </w:pPr>
    </w:p>
    <w:p w14:paraId="45551620" w14:textId="77777777" w:rsidR="00882F40" w:rsidRDefault="00730698">
      <w:pPr>
        <w:pBdr>
          <w:top w:val="nil"/>
          <w:left w:val="nil"/>
          <w:bottom w:val="nil"/>
          <w:right w:val="nil"/>
          <w:between w:val="nil"/>
        </w:pBdr>
        <w:spacing w:after="0" w:line="240" w:lineRule="auto"/>
        <w:ind w:left="348"/>
        <w:jc w:val="both"/>
        <w:rPr>
          <w:rFonts w:ascii="Arial" w:eastAsia="Arial" w:hAnsi="Arial" w:cs="Arial"/>
          <w:color w:val="242424"/>
          <w:sz w:val="24"/>
          <w:szCs w:val="24"/>
        </w:rPr>
      </w:pPr>
      <w:r>
        <w:rPr>
          <w:rFonts w:ascii="Arial" w:eastAsia="Arial" w:hAnsi="Arial" w:cs="Arial"/>
          <w:b/>
          <w:color w:val="000000"/>
          <w:sz w:val="24"/>
          <w:szCs w:val="24"/>
        </w:rPr>
        <w:t>Observación:</w:t>
      </w:r>
      <w:r>
        <w:rPr>
          <w:rFonts w:ascii="Arial" w:eastAsia="Arial" w:hAnsi="Arial" w:cs="Arial"/>
          <w:color w:val="000000"/>
          <w:sz w:val="24"/>
          <w:szCs w:val="24"/>
        </w:rPr>
        <w:t xml:space="preserve"> El no cumplimiento de estos tiempos (informe de evidencias y facturación) podrá constituir causal suficiente para que </w:t>
      </w:r>
      <w:proofErr w:type="gramStart"/>
      <w:r>
        <w:rPr>
          <w:rFonts w:ascii="Arial" w:eastAsia="Arial" w:hAnsi="Arial" w:cs="Arial"/>
          <w:color w:val="000000"/>
          <w:sz w:val="24"/>
          <w:szCs w:val="24"/>
        </w:rPr>
        <w:t>Activa</w:t>
      </w:r>
      <w:proofErr w:type="gramEnd"/>
      <w:r>
        <w:rPr>
          <w:rFonts w:ascii="Arial" w:eastAsia="Arial" w:hAnsi="Arial" w:cs="Arial"/>
          <w:color w:val="000000"/>
          <w:sz w:val="24"/>
          <w:szCs w:val="24"/>
        </w:rPr>
        <w:t xml:space="preserve"> suspenda el envío de solicitudes para presentar ofertas durante (90) noventa días, toda vez que los ingresos de Activa dependen directamente de la legalización de cada servicio.</w:t>
      </w:r>
    </w:p>
    <w:p w14:paraId="6C3EA782" w14:textId="77777777" w:rsidR="00882F40" w:rsidRDefault="00882F40">
      <w:pPr>
        <w:pBdr>
          <w:top w:val="nil"/>
          <w:left w:val="nil"/>
          <w:bottom w:val="nil"/>
          <w:right w:val="nil"/>
          <w:between w:val="nil"/>
        </w:pBdr>
        <w:spacing w:after="0" w:line="240" w:lineRule="auto"/>
        <w:ind w:left="348"/>
        <w:jc w:val="both"/>
        <w:rPr>
          <w:rFonts w:ascii="Arial" w:eastAsia="Arial" w:hAnsi="Arial" w:cs="Arial"/>
          <w:color w:val="242424"/>
          <w:sz w:val="24"/>
          <w:szCs w:val="24"/>
        </w:rPr>
      </w:pPr>
    </w:p>
    <w:p w14:paraId="64494FDF" w14:textId="77777777" w:rsidR="00882F40" w:rsidRDefault="00882F40">
      <w:pPr>
        <w:jc w:val="both"/>
        <w:rPr>
          <w:rFonts w:ascii="Arial" w:eastAsia="Arial" w:hAnsi="Arial" w:cs="Arial"/>
        </w:rPr>
      </w:pPr>
    </w:p>
    <w:p w14:paraId="6B8A11C6" w14:textId="77777777" w:rsidR="00882F40" w:rsidRDefault="00730698">
      <w:pPr>
        <w:rPr>
          <w:rFonts w:ascii="Arial" w:eastAsia="Arial" w:hAnsi="Arial" w:cs="Arial"/>
          <w:b/>
        </w:rPr>
      </w:pPr>
      <w:r>
        <w:rPr>
          <w:rFonts w:ascii="Arial" w:eastAsia="Arial" w:hAnsi="Arial" w:cs="Arial"/>
          <w:b/>
        </w:rPr>
        <w:t>Atentamente,</w:t>
      </w:r>
    </w:p>
    <w:p w14:paraId="2AD8CB1F" w14:textId="77777777" w:rsidR="00882F40" w:rsidRDefault="00882F40">
      <w:pPr>
        <w:rPr>
          <w:rFonts w:ascii="Arial" w:eastAsia="Arial" w:hAnsi="Arial" w:cs="Arial"/>
          <w:b/>
        </w:rPr>
      </w:pPr>
    </w:p>
    <w:p w14:paraId="59F53735" w14:textId="77777777" w:rsidR="00882F40" w:rsidRDefault="00730698">
      <w:pPr>
        <w:spacing w:after="0"/>
        <w:rPr>
          <w:rFonts w:ascii="Arial" w:eastAsia="Arial" w:hAnsi="Arial" w:cs="Arial"/>
          <w:b/>
        </w:rPr>
      </w:pPr>
      <w:r>
        <w:rPr>
          <w:rFonts w:ascii="Arial" w:eastAsia="Arial" w:hAnsi="Arial" w:cs="Arial"/>
          <w:b/>
        </w:rPr>
        <w:t>Nombre Representante Legal:</w:t>
      </w:r>
    </w:p>
    <w:p w14:paraId="2F53C904" w14:textId="77777777" w:rsidR="00882F40" w:rsidRDefault="00730698">
      <w:pPr>
        <w:spacing w:after="0"/>
        <w:rPr>
          <w:rFonts w:ascii="Arial" w:eastAsia="Arial" w:hAnsi="Arial" w:cs="Arial"/>
          <w:b/>
        </w:rPr>
      </w:pPr>
      <w:r>
        <w:rPr>
          <w:rFonts w:ascii="Arial" w:eastAsia="Arial" w:hAnsi="Arial" w:cs="Arial"/>
          <w:b/>
        </w:rPr>
        <w:t>Dirección proveedor aliado:</w:t>
      </w:r>
    </w:p>
    <w:p w14:paraId="3C537359" w14:textId="77777777" w:rsidR="00882F40" w:rsidRDefault="00730698">
      <w:pPr>
        <w:spacing w:after="0"/>
        <w:rPr>
          <w:rFonts w:ascii="Arial" w:eastAsia="Arial" w:hAnsi="Arial" w:cs="Arial"/>
          <w:b/>
        </w:rPr>
      </w:pPr>
      <w:r>
        <w:rPr>
          <w:rFonts w:ascii="Arial" w:eastAsia="Arial" w:hAnsi="Arial" w:cs="Arial"/>
          <w:b/>
        </w:rPr>
        <w:t>Teléfono del proveedor aliado:</w:t>
      </w:r>
    </w:p>
    <w:p w14:paraId="687CEF74" w14:textId="77777777" w:rsidR="00882F40" w:rsidRDefault="00730698">
      <w:pPr>
        <w:spacing w:after="0"/>
        <w:rPr>
          <w:rFonts w:ascii="Arial" w:eastAsia="Arial" w:hAnsi="Arial" w:cs="Arial"/>
          <w:b/>
        </w:rPr>
      </w:pPr>
      <w:r>
        <w:rPr>
          <w:rFonts w:ascii="Arial" w:eastAsia="Arial" w:hAnsi="Arial" w:cs="Arial"/>
          <w:b/>
        </w:rPr>
        <w:t>Correo electrónico de notificaciones:</w:t>
      </w:r>
    </w:p>
    <w:p w14:paraId="1BFB11FB" w14:textId="77777777" w:rsidR="00882F40" w:rsidRDefault="00882F40">
      <w:pPr>
        <w:spacing w:after="0"/>
        <w:rPr>
          <w:rFonts w:ascii="Arial" w:eastAsia="Arial" w:hAnsi="Arial" w:cs="Arial"/>
        </w:rPr>
      </w:pPr>
    </w:p>
    <w:p w14:paraId="09ED7FB0" w14:textId="77777777" w:rsidR="00882F40" w:rsidRDefault="00730698">
      <w:pPr>
        <w:tabs>
          <w:tab w:val="left" w:pos="5160"/>
        </w:tabs>
        <w:rPr>
          <w:rFonts w:ascii="Arial" w:eastAsia="Arial" w:hAnsi="Arial" w:cs="Arial"/>
        </w:rPr>
      </w:pPr>
      <w:r>
        <w:rPr>
          <w:rFonts w:ascii="Arial" w:eastAsia="Arial" w:hAnsi="Arial" w:cs="Arial"/>
        </w:rPr>
        <w:lastRenderedPageBreak/>
        <w:tab/>
      </w:r>
    </w:p>
    <w:sectPr w:rsidR="00882F40">
      <w:headerReference w:type="default" r:id="rId12"/>
      <w:footerReference w:type="default" r:id="rId13"/>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E4085" w14:textId="77777777" w:rsidR="00E65996" w:rsidRDefault="00E65996">
      <w:pPr>
        <w:spacing w:after="0" w:line="240" w:lineRule="auto"/>
      </w:pPr>
      <w:r>
        <w:separator/>
      </w:r>
    </w:p>
  </w:endnote>
  <w:endnote w:type="continuationSeparator" w:id="0">
    <w:p w14:paraId="05D9DD65" w14:textId="77777777" w:rsidR="00E65996" w:rsidRDefault="00E659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2931F" w14:textId="77777777" w:rsidR="00882F40" w:rsidRDefault="00730698">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F76B2" w14:textId="77777777" w:rsidR="00E65996" w:rsidRDefault="00E65996">
      <w:pPr>
        <w:spacing w:after="0" w:line="240" w:lineRule="auto"/>
      </w:pPr>
      <w:r>
        <w:separator/>
      </w:r>
    </w:p>
  </w:footnote>
  <w:footnote w:type="continuationSeparator" w:id="0">
    <w:p w14:paraId="109E097C" w14:textId="77777777" w:rsidR="00E65996" w:rsidRDefault="00E659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23E9E" w14:textId="77777777" w:rsidR="00882F40" w:rsidRDefault="00882F40">
    <w:pPr>
      <w:widowControl w:val="0"/>
      <w:pBdr>
        <w:top w:val="nil"/>
        <w:left w:val="nil"/>
        <w:bottom w:val="nil"/>
        <w:right w:val="nil"/>
        <w:between w:val="nil"/>
      </w:pBdr>
      <w:spacing w:after="0"/>
      <w:rPr>
        <w:rFonts w:ascii="Arial" w:eastAsia="Arial" w:hAnsi="Arial" w:cs="Arial"/>
      </w:rPr>
    </w:pPr>
  </w:p>
  <w:tbl>
    <w:tblPr>
      <w:tblStyle w:val="a0"/>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882F40" w14:paraId="0FEA9E84"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5DA91075" w14:textId="77777777" w:rsidR="00882F40" w:rsidRDefault="00730698">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12771ED9" wp14:editId="7EE730F6">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1144689200"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39E94946" w14:textId="77777777" w:rsidR="00882F40" w:rsidRDefault="00730698">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 xml:space="preserve">ACUERDO DE NIVELES DE SERVICIO – ANS </w:t>
          </w:r>
        </w:p>
      </w:tc>
      <w:tc>
        <w:tcPr>
          <w:tcW w:w="2230" w:type="dxa"/>
          <w:tcBorders>
            <w:top w:val="single" w:sz="4" w:space="0" w:color="000000"/>
            <w:left w:val="single" w:sz="4" w:space="0" w:color="000000"/>
            <w:bottom w:val="single" w:sz="4" w:space="0" w:color="000000"/>
            <w:right w:val="single" w:sz="4" w:space="0" w:color="000000"/>
          </w:tcBorders>
          <w:vAlign w:val="center"/>
        </w:tcPr>
        <w:p w14:paraId="45ACC411" w14:textId="77777777" w:rsidR="00882F40" w:rsidRDefault="00730698">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882F40" w14:paraId="3306221B"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36CFD55E" w14:textId="77777777" w:rsidR="00882F40" w:rsidRDefault="00882F40">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5E393F74" w14:textId="77777777" w:rsidR="00882F40" w:rsidRDefault="00882F40">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4429D8" w14:textId="77777777" w:rsidR="00882F40" w:rsidRDefault="00730698">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0D572919" w14:textId="77777777" w:rsidR="00882F40" w:rsidRDefault="00882F40">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9699A"/>
    <w:multiLevelType w:val="multilevel"/>
    <w:tmpl w:val="FFECD040"/>
    <w:lvl w:ilvl="0">
      <w:start w:val="6"/>
      <w:numFmt w:val="decimal"/>
      <w:lvlText w:val="%1."/>
      <w:lvlJc w:val="left"/>
      <w:pPr>
        <w:ind w:left="12" w:hanging="360"/>
      </w:pPr>
    </w:lvl>
    <w:lvl w:ilvl="1">
      <w:start w:val="1"/>
      <w:numFmt w:val="decimal"/>
      <w:lvlText w:val="%2."/>
      <w:lvlJc w:val="left"/>
      <w:pPr>
        <w:ind w:left="732" w:hanging="360"/>
      </w:pPr>
    </w:lvl>
    <w:lvl w:ilvl="2">
      <w:start w:val="1"/>
      <w:numFmt w:val="decimal"/>
      <w:lvlText w:val="%3."/>
      <w:lvlJc w:val="left"/>
      <w:pPr>
        <w:ind w:left="1452" w:hanging="360"/>
      </w:pPr>
    </w:lvl>
    <w:lvl w:ilvl="3">
      <w:start w:val="1"/>
      <w:numFmt w:val="decimal"/>
      <w:lvlText w:val="%4."/>
      <w:lvlJc w:val="left"/>
      <w:pPr>
        <w:ind w:left="2172" w:hanging="360"/>
      </w:pPr>
    </w:lvl>
    <w:lvl w:ilvl="4">
      <w:start w:val="1"/>
      <w:numFmt w:val="decimal"/>
      <w:lvlText w:val="%5."/>
      <w:lvlJc w:val="left"/>
      <w:pPr>
        <w:ind w:left="2892" w:hanging="360"/>
      </w:pPr>
    </w:lvl>
    <w:lvl w:ilvl="5">
      <w:start w:val="1"/>
      <w:numFmt w:val="decimal"/>
      <w:lvlText w:val="%6."/>
      <w:lvlJc w:val="left"/>
      <w:pPr>
        <w:ind w:left="3612" w:hanging="360"/>
      </w:pPr>
    </w:lvl>
    <w:lvl w:ilvl="6">
      <w:start w:val="1"/>
      <w:numFmt w:val="decimal"/>
      <w:lvlText w:val="%7."/>
      <w:lvlJc w:val="left"/>
      <w:pPr>
        <w:ind w:left="4332" w:hanging="360"/>
      </w:pPr>
    </w:lvl>
    <w:lvl w:ilvl="7">
      <w:start w:val="1"/>
      <w:numFmt w:val="decimal"/>
      <w:lvlText w:val="%8."/>
      <w:lvlJc w:val="left"/>
      <w:pPr>
        <w:ind w:left="5052" w:hanging="360"/>
      </w:pPr>
    </w:lvl>
    <w:lvl w:ilvl="8">
      <w:start w:val="1"/>
      <w:numFmt w:val="decimal"/>
      <w:lvlText w:val="%9."/>
      <w:lvlJc w:val="left"/>
      <w:pPr>
        <w:ind w:left="5772" w:hanging="360"/>
      </w:pPr>
    </w:lvl>
  </w:abstractNum>
  <w:abstractNum w:abstractNumId="1" w15:restartNumberingAfterBreak="0">
    <w:nsid w:val="11B15699"/>
    <w:multiLevelType w:val="multilevel"/>
    <w:tmpl w:val="CBF645A4"/>
    <w:lvl w:ilvl="0">
      <w:start w:val="1"/>
      <w:numFmt w:val="decimal"/>
      <w:lvlText w:val="%1."/>
      <w:lvlJc w:val="left"/>
      <w:pPr>
        <w:ind w:left="720" w:hanging="360"/>
      </w:pPr>
    </w:lvl>
    <w:lvl w:ilvl="1">
      <w:start w:val="1"/>
      <w:numFmt w:val="decimal"/>
      <w:lvlText w:val="%1.%2"/>
      <w:lvlJc w:val="left"/>
      <w:pPr>
        <w:ind w:left="760" w:hanging="40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 w15:restartNumberingAfterBreak="0">
    <w:nsid w:val="27AE0641"/>
    <w:multiLevelType w:val="multilevel"/>
    <w:tmpl w:val="28107A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ED10951"/>
    <w:multiLevelType w:val="multilevel"/>
    <w:tmpl w:val="2A7C1E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D7A7875"/>
    <w:multiLevelType w:val="multilevel"/>
    <w:tmpl w:val="F99EEF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75589601">
    <w:abstractNumId w:val="1"/>
  </w:num>
  <w:num w:numId="2" w16cid:durableId="346635601">
    <w:abstractNumId w:val="2"/>
  </w:num>
  <w:num w:numId="3" w16cid:durableId="1301152805">
    <w:abstractNumId w:val="3"/>
  </w:num>
  <w:num w:numId="4" w16cid:durableId="792361469">
    <w:abstractNumId w:val="0"/>
  </w:num>
  <w:num w:numId="5" w16cid:durableId="1422330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F40"/>
    <w:rsid w:val="00564414"/>
    <w:rsid w:val="005B4EE1"/>
    <w:rsid w:val="00730698"/>
    <w:rsid w:val="007A1115"/>
    <w:rsid w:val="00882F40"/>
    <w:rsid w:val="00B02917"/>
    <w:rsid w:val="00C54DE1"/>
    <w:rsid w:val="00E6599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9AAC1"/>
  <w15:docId w15:val="{F40C9090-607D-4911-AD6C-91571D4AC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ascii="Calibri" w:eastAsia="Calibri" w:hAnsi="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CcyqeSsFpt99l2qcCTAO6LVGxg==">CgMxLjA4AHIhMUVOUzhwdkEtTFpfdl9qdTlaRTBfVEd4bHdhWC1iYm5r</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eef698b91c6c6da9164e73cbdf5b1375">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02310fb05cda6ebab7239222046455ca"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A7331C-DB2A-4A95-B4F3-32BA9A7D7438}">
  <ds:schemaRefs>
    <ds:schemaRef ds:uri="http://schemas.microsoft.com/sharepoint/v3/contenttype/forms"/>
  </ds:schemaRefs>
</ds:datastoreItem>
</file>

<file path=customXml/itemProps2.xml><?xml version="1.0" encoding="utf-8"?>
<ds:datastoreItem xmlns:ds="http://schemas.openxmlformats.org/officeDocument/2006/customXml" ds:itemID="{A3BC8518-8DC2-493C-BBAD-AD96F0104D4C}">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21FA1EEF-C48A-4AE9-B1A0-F600269C12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17aef0-ee18-43df-8fb6-a8e286a8ac2b"/>
    <ds:schemaRef ds:uri="0492cccb-6647-486e-854d-ea79f74918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1688</Words>
  <Characters>9060</Characters>
  <Application>Microsoft Office Word</Application>
  <DocSecurity>0</DocSecurity>
  <Lines>206</Lines>
  <Paragraphs>73</Paragraphs>
  <ScaleCrop>false</ScaleCrop>
  <Company/>
  <LinksUpToDate>false</LinksUpToDate>
  <CharactersWithSpaces>10717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Juan David Buritica Giraldo</cp:lastModifiedBy>
  <cp:revision>5</cp:revision>
  <dcterms:created xsi:type="dcterms:W3CDTF">2024-03-13T15:58:00Z</dcterms:created>
  <dcterms:modified xsi:type="dcterms:W3CDTF">2025-10-20T17:17:00Z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