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882F40" w:rsidRDefault="00882F40" w14:paraId="699CEBA0" w14:textId="77777777">
      <w:pPr>
        <w:rPr>
          <w:rFonts w:ascii="Arial" w:hAnsi="Arial" w:eastAsia="Arial" w:cs="Arial"/>
        </w:rPr>
      </w:pPr>
    </w:p>
    <w:p w:rsidR="00882F40" w:rsidRDefault="00730698" w14:paraId="44084B2A" w14:textId="77777777">
      <w:pPr>
        <w:spacing w:after="0" w:line="240" w:lineRule="auto"/>
        <w:jc w:val="center"/>
        <w:rPr>
          <w:rFonts w:ascii="Arial" w:hAnsi="Arial" w:eastAsia="Arial" w:cs="Arial"/>
          <w:b/>
          <w:sz w:val="24"/>
          <w:szCs w:val="24"/>
        </w:rPr>
      </w:pPr>
      <w:r>
        <w:rPr>
          <w:rFonts w:ascii="Arial" w:hAnsi="Arial" w:eastAsia="Arial" w:cs="Arial"/>
          <w:b/>
        </w:rPr>
        <w:t>ANEXO N° 6.</w:t>
      </w:r>
    </w:p>
    <w:p w:rsidR="00882F40" w:rsidRDefault="00730698" w14:paraId="0D3875A2" w14:textId="77777777">
      <w:pPr>
        <w:spacing w:after="0" w:line="240" w:lineRule="auto"/>
        <w:jc w:val="center"/>
        <w:rPr>
          <w:rFonts w:ascii="Arial" w:hAnsi="Arial" w:eastAsia="Arial" w:cs="Arial"/>
          <w:b/>
          <w:sz w:val="24"/>
          <w:szCs w:val="24"/>
        </w:rPr>
      </w:pPr>
      <w:r>
        <w:rPr>
          <w:rFonts w:ascii="Arial" w:hAnsi="Arial" w:eastAsia="Arial" w:cs="Arial"/>
          <w:b/>
          <w:sz w:val="24"/>
          <w:szCs w:val="24"/>
        </w:rPr>
        <w:t xml:space="preserve">ACUERDO DE NIVELES DE SERVICIO </w:t>
      </w:r>
    </w:p>
    <w:p w:rsidR="00C953C6" w:rsidRDefault="00C953C6" w14:paraId="56921499" w14:textId="77777777">
      <w:pPr>
        <w:ind w:left="708"/>
        <w:jc w:val="both"/>
        <w:rPr>
          <w:rFonts w:ascii="Arial" w:hAnsi="Arial" w:eastAsia="Arial" w:cs="Arial"/>
          <w:sz w:val="24"/>
          <w:szCs w:val="24"/>
        </w:rPr>
      </w:pPr>
    </w:p>
    <w:p w:rsidR="00882F40" w:rsidP="00C953C6" w:rsidRDefault="00730698" w14:paraId="510563EB" w14:textId="072CA3BC">
      <w:pPr>
        <w:jc w:val="both"/>
        <w:rPr>
          <w:rFonts w:ascii="Arial" w:hAnsi="Arial" w:eastAsia="Arial" w:cs="Arial"/>
          <w:sz w:val="24"/>
          <w:szCs w:val="24"/>
        </w:rPr>
      </w:pPr>
      <w:r>
        <w:rPr>
          <w:rFonts w:ascii="Arial" w:hAnsi="Arial" w:eastAsia="Arial" w:cs="Arial"/>
          <w:sz w:val="24"/>
          <w:szCs w:val="24"/>
        </w:rPr>
        <w:t>Yo_______________, identificado(a) con cédula de ciudadanía No. _______________, en mi condición de representante legal de la empresa _______________, identificada con NIT _______________, mediante el presente suscribo con la Empresa de Parques y Eventos de Antioquia - ACTIVA. El siguiente:</w:t>
      </w:r>
    </w:p>
    <w:p w:rsidRPr="00980E90" w:rsidR="007A1115" w:rsidP="007A1115" w:rsidRDefault="007A1115" w14:paraId="3097AB21" w14:textId="5A30C9F7">
      <w:pPr>
        <w:spacing w:after="0" w:line="240" w:lineRule="auto"/>
        <w:rPr>
          <w:rFonts w:ascii="Quattrocento Sans" w:hAnsi="Quattrocento Sans" w:eastAsia="Quattrocento Sans" w:cs="Quattrocento Sans"/>
          <w:color w:val="000000"/>
          <w:sz w:val="24"/>
          <w:szCs w:val="24"/>
        </w:rPr>
      </w:pPr>
      <w:r w:rsidRPr="00980E90">
        <w:rPr>
          <w:rFonts w:ascii="Arial" w:hAnsi="Arial" w:eastAsia="Arial" w:cs="Arial"/>
          <w:b/>
          <w:color w:val="000000"/>
          <w:sz w:val="24"/>
          <w:szCs w:val="24"/>
        </w:rPr>
        <w:t xml:space="preserve">Referencia: </w:t>
      </w:r>
      <w:r w:rsidRPr="00980E90">
        <w:rPr>
          <w:rFonts w:ascii="Arial" w:hAnsi="Arial" w:eastAsia="Arial" w:cs="Arial"/>
          <w:color w:val="000000"/>
          <w:sz w:val="24"/>
          <w:szCs w:val="24"/>
        </w:rPr>
        <w:t>Invitación abierta 001 de 202</w:t>
      </w:r>
      <w:r w:rsidR="00C953C6">
        <w:rPr>
          <w:rFonts w:ascii="Arial" w:hAnsi="Arial" w:eastAsia="Arial" w:cs="Arial"/>
          <w:color w:val="000000"/>
          <w:sz w:val="24"/>
          <w:szCs w:val="24"/>
        </w:rPr>
        <w:t>6</w:t>
      </w:r>
      <w:r w:rsidRPr="00980E90">
        <w:rPr>
          <w:rFonts w:ascii="Arial" w:hAnsi="Arial" w:eastAsia="Arial" w:cs="Arial"/>
          <w:color w:val="000000"/>
          <w:sz w:val="24"/>
          <w:szCs w:val="24"/>
        </w:rPr>
        <w:t>.  </w:t>
      </w:r>
    </w:p>
    <w:p w:rsidRPr="00980E90" w:rsidR="007A1115" w:rsidP="007A1115" w:rsidRDefault="007A1115" w14:paraId="458CE163" w14:textId="77777777">
      <w:pPr>
        <w:spacing w:after="0" w:line="240" w:lineRule="auto"/>
        <w:rPr>
          <w:rFonts w:ascii="Arial" w:hAnsi="Arial" w:eastAsia="Arial" w:cs="Arial"/>
          <w:color w:val="000000"/>
          <w:sz w:val="24"/>
          <w:szCs w:val="24"/>
        </w:rPr>
      </w:pPr>
      <w:r w:rsidRPr="00980E90">
        <w:rPr>
          <w:rFonts w:ascii="Arial" w:hAnsi="Arial" w:eastAsia="Arial" w:cs="Arial"/>
          <w:color w:val="000000"/>
          <w:sz w:val="24"/>
          <w:szCs w:val="24"/>
        </w:rPr>
        <w:t> </w:t>
      </w:r>
    </w:p>
    <w:p w:rsidR="007A1115" w:rsidP="1D13CD06" w:rsidRDefault="007A1115" w14:paraId="4337ADF6" w14:textId="702D05D4">
      <w:pPr>
        <w:jc w:val="both"/>
        <w:rPr>
          <w:rFonts w:ascii="Arial" w:hAnsi="Arial" w:eastAsia="Arial" w:cs="Arial"/>
          <w:noProof w:val="0"/>
          <w:sz w:val="22"/>
          <w:szCs w:val="22"/>
          <w:lang w:val="es-CO"/>
        </w:rPr>
      </w:pPr>
      <w:r w:rsidRPr="1D13CD06" w:rsidR="007A1115">
        <w:rPr>
          <w:rFonts w:ascii="Arial" w:hAnsi="Arial" w:eastAsia="Arial" w:cs="Arial"/>
          <w:b w:val="1"/>
          <w:bCs w:val="1"/>
          <w:sz w:val="24"/>
          <w:szCs w:val="24"/>
        </w:rPr>
        <w:t>Objeto:</w:t>
      </w:r>
      <w:r w:rsidRPr="1D13CD06" w:rsidR="007A1115">
        <w:rPr>
          <w:rFonts w:ascii="Arial" w:hAnsi="Arial" w:eastAsia="Arial" w:cs="Arial"/>
          <w:sz w:val="24"/>
          <w:szCs w:val="24"/>
        </w:rPr>
        <w:t xml:space="preserve"> </w:t>
      </w:r>
      <w:r w:rsidRPr="1D13CD06" w:rsidR="3A540574">
        <w:rPr>
          <w:rFonts w:ascii="Arial" w:hAnsi="Arial" w:eastAsia="Arial" w:cs="Arial"/>
          <w:b w:val="0"/>
          <w:bCs w:val="0"/>
          <w:i w:val="0"/>
          <w:iCs w:val="0"/>
          <w:caps w:val="0"/>
          <w:smallCaps w:val="0"/>
          <w:noProof w:val="0"/>
          <w:color w:val="000000" w:themeColor="text1" w:themeTint="FF" w:themeShade="FF"/>
          <w:sz w:val="22"/>
          <w:szCs w:val="22"/>
          <w:lang w:val="es-CO"/>
        </w:rPr>
        <w:t>CONTRATAR EL SERVICIO DE ALIMENTACION ESPECIALIZADA, QUE INCLUYA OPCIONES FORMATO PREMIUM, GOURMET Y SALUDABLE, DESTINADOS A LA ATENCIÓN DE LOS EVENTOS, ACTIVIDADES Y PROYECTOS GESTIONADOS POR LA EMPRESA DE PARQUES Y EVENTOS DE ANTIOQUIA – ACTIVA Y/O SUS RESPECTIVOS CLIENTES.</w:t>
      </w:r>
    </w:p>
    <w:p w:rsidR="00882F40" w:rsidP="00C953C6" w:rsidRDefault="00730698" w14:paraId="1248F275" w14:textId="7B2B6B3A">
      <w:pPr>
        <w:spacing w:after="0" w:line="240" w:lineRule="auto"/>
        <w:jc w:val="both"/>
        <w:rPr>
          <w:rFonts w:ascii="Arial" w:hAnsi="Arial" w:eastAsia="Arial" w:cs="Arial"/>
          <w:b/>
          <w:color w:val="000000"/>
          <w:sz w:val="24"/>
          <w:szCs w:val="24"/>
        </w:rPr>
      </w:pPr>
      <w:r>
        <w:rPr>
          <w:rFonts w:ascii="Arial" w:hAnsi="Arial" w:eastAsia="Arial" w:cs="Arial"/>
          <w:b/>
          <w:color w:val="000000"/>
          <w:sz w:val="24"/>
          <w:szCs w:val="24"/>
        </w:rPr>
        <w:t>ACUERDO DE NIVELES DE SERVICIO – ANS</w:t>
      </w:r>
    </w:p>
    <w:p w:rsidR="00882F40" w:rsidRDefault="00882F40" w14:paraId="138A2442" w14:textId="77777777">
      <w:pPr>
        <w:pBdr>
          <w:top w:val="nil"/>
          <w:left w:val="nil"/>
          <w:bottom w:val="nil"/>
          <w:right w:val="nil"/>
          <w:between w:val="nil"/>
        </w:pBdr>
        <w:spacing w:after="0" w:line="240" w:lineRule="auto"/>
        <w:ind w:left="720"/>
        <w:jc w:val="both"/>
        <w:rPr>
          <w:rFonts w:ascii="Arial" w:hAnsi="Arial" w:eastAsia="Arial" w:cs="Arial"/>
          <w:b/>
          <w:color w:val="000000"/>
          <w:sz w:val="24"/>
          <w:szCs w:val="24"/>
        </w:rPr>
      </w:pPr>
    </w:p>
    <w:p w:rsidR="00882F40" w:rsidRDefault="00730698" w14:paraId="359DC2D5" w14:textId="77777777">
      <w:pPr>
        <w:numPr>
          <w:ilvl w:val="0"/>
          <w:numId w:val="1"/>
        </w:numPr>
        <w:pBdr>
          <w:top w:val="nil"/>
          <w:left w:val="nil"/>
          <w:bottom w:val="nil"/>
          <w:right w:val="nil"/>
          <w:between w:val="nil"/>
        </w:pBdr>
        <w:spacing w:after="280" w:line="240" w:lineRule="auto"/>
        <w:jc w:val="both"/>
        <w:rPr>
          <w:rFonts w:ascii="Arial" w:hAnsi="Arial" w:eastAsia="Arial" w:cs="Arial"/>
          <w:b/>
          <w:color w:val="000000"/>
          <w:sz w:val="24"/>
          <w:szCs w:val="24"/>
        </w:rPr>
      </w:pPr>
      <w:r>
        <w:rPr>
          <w:rFonts w:ascii="Arial" w:hAnsi="Arial" w:eastAsia="Arial" w:cs="Arial"/>
          <w:b/>
          <w:color w:val="000000"/>
          <w:sz w:val="24"/>
          <w:szCs w:val="24"/>
        </w:rPr>
        <w:t>INTRODUCCIÓN</w:t>
      </w:r>
    </w:p>
    <w:p w:rsidR="00882F40" w:rsidP="007A1115" w:rsidRDefault="00730698" w14:paraId="00482A78" w14:textId="5D92FF8D">
      <w:pPr>
        <w:spacing w:after="0" w:line="240" w:lineRule="auto"/>
        <w:jc w:val="both"/>
        <w:rPr>
          <w:rFonts w:ascii="Arial" w:hAnsi="Arial" w:eastAsia="Arial" w:cs="Arial"/>
          <w:color w:val="161616"/>
          <w:sz w:val="24"/>
          <w:szCs w:val="24"/>
        </w:rPr>
      </w:pPr>
      <w:r>
        <w:rPr>
          <w:rFonts w:ascii="Arial" w:hAnsi="Arial" w:eastAsia="Arial" w:cs="Arial"/>
          <w:color w:val="161616"/>
          <w:sz w:val="24"/>
          <w:szCs w:val="24"/>
        </w:rPr>
        <w:t>Con el fin de generar una mejora continua en la ejecución de las órdenes de pedido para la</w:t>
      </w:r>
      <w:r w:rsidR="00C953C6">
        <w:rPr>
          <w:rFonts w:ascii="Arial" w:hAnsi="Arial" w:eastAsia="Arial" w:cs="Arial"/>
          <w:color w:val="161616"/>
          <w:sz w:val="24"/>
          <w:szCs w:val="24"/>
        </w:rPr>
        <w:t xml:space="preserve"> ejecución del objeto contractual, se plantea como estrategia desarrollar un lineamiento que le permita administrar </w:t>
      </w:r>
      <w:r>
        <w:rPr>
          <w:rFonts w:ascii="Arial" w:hAnsi="Arial" w:eastAsia="Arial" w:cs="Arial"/>
          <w:color w:val="161616"/>
          <w:sz w:val="24"/>
          <w:szCs w:val="24"/>
        </w:rPr>
        <w:t xml:space="preserve">los niveles de calidad del servicio en cumplimiento de las obligaciones estipuladas en el Acuerdo Marco. </w:t>
      </w:r>
    </w:p>
    <w:p w:rsidR="00C953C6" w:rsidP="00C953C6" w:rsidRDefault="00C953C6" w14:paraId="188971E1" w14:textId="77777777">
      <w:pPr>
        <w:pBdr>
          <w:top w:val="nil"/>
          <w:left w:val="nil"/>
          <w:bottom w:val="nil"/>
          <w:right w:val="nil"/>
          <w:between w:val="nil"/>
        </w:pBdr>
        <w:spacing w:line="240" w:lineRule="auto"/>
        <w:jc w:val="both"/>
        <w:rPr>
          <w:rFonts w:ascii="Arial" w:hAnsi="Arial" w:eastAsia="Arial" w:cs="Arial"/>
          <w:sz w:val="24"/>
          <w:szCs w:val="24"/>
        </w:rPr>
      </w:pPr>
    </w:p>
    <w:p w:rsidR="00882F40" w:rsidP="00C953C6" w:rsidRDefault="00730698" w14:paraId="6B91DCD6" w14:textId="5989DA52">
      <w:pPr>
        <w:pBdr>
          <w:top w:val="nil"/>
          <w:left w:val="nil"/>
          <w:bottom w:val="nil"/>
          <w:right w:val="nil"/>
          <w:between w:val="nil"/>
        </w:pBdr>
        <w:spacing w:line="240" w:lineRule="auto"/>
        <w:jc w:val="both"/>
        <w:rPr>
          <w:rFonts w:ascii="Arial" w:hAnsi="Arial" w:eastAsia="Arial" w:cs="Arial"/>
          <w:color w:val="000000"/>
          <w:sz w:val="24"/>
          <w:szCs w:val="24"/>
        </w:rPr>
      </w:pPr>
      <w:r>
        <w:rPr>
          <w:rFonts w:ascii="Arial" w:hAnsi="Arial" w:eastAsia="Arial" w:cs="Arial"/>
          <w:color w:val="161616"/>
          <w:sz w:val="24"/>
          <w:szCs w:val="24"/>
        </w:rPr>
        <w:t xml:space="preserve">El lineamiento mencionado, se denomina “Administración de Acuerdos de Nivel de Servicio (ANS)” el cual garantiza que algunas de las obligaciones pactadas con el contratista se cumplan, de acuerdo con los objetivos y tiempos que se definan, que le permitirá́ al Supervisor de la orden de pedido, utilizar mecanismos y herramientas en pro de conminar el cumplimiento de los niveles de servicio establecidos. </w:t>
      </w:r>
    </w:p>
    <w:p w:rsidR="00882F40" w:rsidP="00C953C6" w:rsidRDefault="00730698" w14:paraId="55D1F421" w14:textId="77777777">
      <w:pPr>
        <w:pBdr>
          <w:top w:val="nil"/>
          <w:left w:val="nil"/>
          <w:bottom w:val="nil"/>
          <w:right w:val="nil"/>
          <w:between w:val="nil"/>
        </w:pBdr>
        <w:spacing w:line="240" w:lineRule="auto"/>
        <w:jc w:val="both"/>
        <w:rPr>
          <w:rFonts w:ascii="Arial" w:hAnsi="Arial" w:eastAsia="Arial" w:cs="Arial"/>
          <w:color w:val="161616"/>
          <w:sz w:val="24"/>
          <w:szCs w:val="24"/>
        </w:rPr>
      </w:pPr>
      <w:r>
        <w:rPr>
          <w:rFonts w:ascii="Arial" w:hAnsi="Arial" w:eastAsia="Arial" w:cs="Arial"/>
          <w:color w:val="161616"/>
          <w:sz w:val="24"/>
          <w:szCs w:val="24"/>
        </w:rPr>
        <w:t>Este documento define y estipula los Acuerdos Niveles de Servicio (ANS), exigibles a los proveedores aliados.</w:t>
      </w:r>
    </w:p>
    <w:p w:rsidR="00882F40" w:rsidRDefault="00730698" w14:paraId="728F7DE9" w14:textId="77777777">
      <w:pPr>
        <w:numPr>
          <w:ilvl w:val="0"/>
          <w:numId w:val="1"/>
        </w:numPr>
        <w:pBdr>
          <w:top w:val="nil"/>
          <w:left w:val="nil"/>
          <w:bottom w:val="nil"/>
          <w:right w:val="nil"/>
          <w:between w:val="nil"/>
        </w:pBdr>
        <w:spacing w:line="240" w:lineRule="auto"/>
        <w:ind w:left="708"/>
        <w:jc w:val="both"/>
        <w:rPr>
          <w:rFonts w:ascii="Arial" w:hAnsi="Arial" w:eastAsia="Arial" w:cs="Arial"/>
          <w:b/>
          <w:color w:val="000000"/>
          <w:sz w:val="24"/>
          <w:szCs w:val="24"/>
        </w:rPr>
      </w:pPr>
      <w:r>
        <w:rPr>
          <w:rFonts w:ascii="Arial" w:hAnsi="Arial" w:eastAsia="Arial" w:cs="Arial"/>
          <w:b/>
          <w:color w:val="161616"/>
          <w:sz w:val="24"/>
          <w:szCs w:val="24"/>
        </w:rPr>
        <w:t>OBJETIVO</w:t>
      </w:r>
    </w:p>
    <w:p w:rsidR="00882F40" w:rsidRDefault="00730698" w14:paraId="05DE5161" w14:textId="77777777">
      <w:pPr>
        <w:pBdr>
          <w:top w:val="nil"/>
          <w:left w:val="nil"/>
          <w:bottom w:val="nil"/>
          <w:right w:val="nil"/>
          <w:between w:val="nil"/>
        </w:pBdr>
        <w:spacing w:line="240" w:lineRule="auto"/>
        <w:ind w:left="696"/>
        <w:jc w:val="both"/>
        <w:rPr>
          <w:rFonts w:ascii="Arial" w:hAnsi="Arial" w:eastAsia="Arial" w:cs="Arial"/>
          <w:color w:val="000000"/>
          <w:sz w:val="24"/>
          <w:szCs w:val="24"/>
        </w:rPr>
      </w:pPr>
      <w:r>
        <w:rPr>
          <w:rFonts w:ascii="Arial" w:hAnsi="Arial" w:eastAsia="Arial" w:cs="Arial"/>
          <w:color w:val="000000"/>
          <w:sz w:val="24"/>
          <w:szCs w:val="24"/>
        </w:rPr>
        <w:t xml:space="preserve">El objetivo de este documento es la presentación de los acuerdos de nivel de servicio ANS, el cual permitirá́ mejorar el servicio de operación logística ajustados a la oportunidad y pertinencia de las necesidades soportadas por la Empresa de Parques y Eventos de Antioquia - ACTIVA. </w:t>
      </w:r>
    </w:p>
    <w:p w:rsidR="00882F40" w:rsidRDefault="00882F40" w14:paraId="3CE4A1EC" w14:textId="77777777">
      <w:pPr>
        <w:pBdr>
          <w:top w:val="nil"/>
          <w:left w:val="nil"/>
          <w:bottom w:val="nil"/>
          <w:right w:val="nil"/>
          <w:between w:val="nil"/>
        </w:pBdr>
        <w:spacing w:line="240" w:lineRule="auto"/>
        <w:ind w:left="708"/>
        <w:jc w:val="both"/>
        <w:rPr>
          <w:rFonts w:ascii="Arial" w:hAnsi="Arial" w:eastAsia="Arial" w:cs="Arial"/>
          <w:color w:val="000000"/>
          <w:sz w:val="24"/>
          <w:szCs w:val="24"/>
        </w:rPr>
      </w:pPr>
    </w:p>
    <w:p w:rsidR="00882F40" w:rsidRDefault="00730698" w14:paraId="2A24B09B" w14:textId="77777777">
      <w:pPr>
        <w:numPr>
          <w:ilvl w:val="0"/>
          <w:numId w:val="1"/>
        </w:numPr>
        <w:pBdr>
          <w:top w:val="nil"/>
          <w:left w:val="nil"/>
          <w:bottom w:val="nil"/>
          <w:right w:val="nil"/>
          <w:between w:val="nil"/>
        </w:pBdr>
        <w:spacing w:line="240" w:lineRule="auto"/>
        <w:jc w:val="both"/>
        <w:rPr>
          <w:rFonts w:ascii="Arial" w:hAnsi="Arial" w:eastAsia="Arial" w:cs="Arial"/>
          <w:b/>
          <w:color w:val="000000"/>
          <w:sz w:val="24"/>
          <w:szCs w:val="24"/>
        </w:rPr>
      </w:pPr>
      <w:r>
        <w:rPr>
          <w:rFonts w:ascii="Arial" w:hAnsi="Arial" w:eastAsia="Arial" w:cs="Arial"/>
          <w:b/>
          <w:color w:val="000000"/>
          <w:sz w:val="24"/>
          <w:szCs w:val="24"/>
        </w:rPr>
        <w:t>DEFINICIÓN</w:t>
      </w:r>
    </w:p>
    <w:p w:rsidR="00882F40" w:rsidRDefault="00730698" w14:paraId="5C97E3ED" w14:textId="77777777">
      <w:pPr>
        <w:pBdr>
          <w:top w:val="nil"/>
          <w:left w:val="nil"/>
          <w:bottom w:val="nil"/>
          <w:right w:val="nil"/>
          <w:between w:val="nil"/>
        </w:pBdr>
        <w:spacing w:line="240" w:lineRule="auto"/>
        <w:ind w:left="708"/>
        <w:jc w:val="both"/>
        <w:rPr>
          <w:rFonts w:ascii="Arial" w:hAnsi="Arial" w:eastAsia="Arial" w:cs="Arial"/>
          <w:color w:val="000000"/>
          <w:sz w:val="24"/>
          <w:szCs w:val="24"/>
        </w:rPr>
      </w:pPr>
      <w:r>
        <w:rPr>
          <w:rFonts w:ascii="Arial" w:hAnsi="Arial" w:eastAsia="Arial" w:cs="Arial"/>
          <w:b/>
          <w:color w:val="161616"/>
          <w:sz w:val="24"/>
          <w:szCs w:val="24"/>
        </w:rPr>
        <w:t xml:space="preserve">ANS – ACUERDO DE NIVEL DE SERVICIO: </w:t>
      </w:r>
      <w:r>
        <w:rPr>
          <w:rFonts w:ascii="Arial" w:hAnsi="Arial" w:eastAsia="Arial" w:cs="Arial"/>
          <w:color w:val="161616"/>
          <w:sz w:val="24"/>
          <w:szCs w:val="24"/>
        </w:rPr>
        <w:t xml:space="preserve">Es un acuerdo entre Proveedor Aliado y ACTIVA, el cual pretende documentar los objetivos de nivel de servicio y especifica las responsabilidades del proveedor. </w:t>
      </w:r>
    </w:p>
    <w:p w:rsidR="00882F40" w:rsidRDefault="00730698" w14:paraId="4A0FEF16" w14:textId="77777777">
      <w:pPr>
        <w:pBdr>
          <w:top w:val="nil"/>
          <w:left w:val="nil"/>
          <w:bottom w:val="nil"/>
          <w:right w:val="nil"/>
          <w:between w:val="nil"/>
        </w:pBdr>
        <w:spacing w:line="240" w:lineRule="auto"/>
        <w:ind w:left="708"/>
        <w:jc w:val="both"/>
        <w:rPr>
          <w:rFonts w:ascii="Arial" w:hAnsi="Arial" w:eastAsia="Arial" w:cs="Arial"/>
          <w:color w:val="000000"/>
          <w:sz w:val="24"/>
          <w:szCs w:val="24"/>
        </w:rPr>
      </w:pPr>
      <w:r>
        <w:rPr>
          <w:rFonts w:ascii="Arial" w:hAnsi="Arial" w:eastAsia="Arial" w:cs="Arial"/>
          <w:color w:val="161616"/>
          <w:sz w:val="24"/>
          <w:szCs w:val="24"/>
        </w:rPr>
        <w:t xml:space="preserve">Los ANS establecen la relación entre las partes. En ellos se identifican y definen las necesidades de ACTIVA, a la vez, que se controlan sus expectativas de ejecución del servicio en relación con la capacidad del proveedor. </w:t>
      </w:r>
    </w:p>
    <w:p w:rsidR="00882F40" w:rsidRDefault="00730698" w14:paraId="6053FFB9" w14:textId="77777777">
      <w:pPr>
        <w:numPr>
          <w:ilvl w:val="0"/>
          <w:numId w:val="1"/>
        </w:numPr>
        <w:pBdr>
          <w:top w:val="nil"/>
          <w:left w:val="nil"/>
          <w:bottom w:val="nil"/>
          <w:right w:val="nil"/>
          <w:between w:val="nil"/>
        </w:pBdr>
        <w:spacing w:line="240" w:lineRule="auto"/>
        <w:jc w:val="both"/>
        <w:rPr>
          <w:rFonts w:ascii="Arial" w:hAnsi="Arial" w:eastAsia="Arial" w:cs="Arial"/>
          <w:b/>
          <w:color w:val="000000"/>
          <w:sz w:val="24"/>
          <w:szCs w:val="24"/>
        </w:rPr>
      </w:pPr>
      <w:r>
        <w:rPr>
          <w:rFonts w:ascii="Arial" w:hAnsi="Arial" w:eastAsia="Arial" w:cs="Arial"/>
          <w:b/>
          <w:color w:val="000000"/>
          <w:sz w:val="24"/>
          <w:szCs w:val="24"/>
        </w:rPr>
        <w:t xml:space="preserve">ALCANCE </w:t>
      </w:r>
    </w:p>
    <w:p w:rsidR="00882F40" w:rsidRDefault="00730698" w14:paraId="11864928" w14:textId="77777777">
      <w:pPr>
        <w:pBdr>
          <w:top w:val="nil"/>
          <w:left w:val="nil"/>
          <w:bottom w:val="nil"/>
          <w:right w:val="nil"/>
          <w:between w:val="nil"/>
        </w:pBdr>
        <w:spacing w:line="240" w:lineRule="auto"/>
        <w:ind w:left="720"/>
        <w:jc w:val="both"/>
        <w:rPr>
          <w:rFonts w:ascii="Arial" w:hAnsi="Arial" w:eastAsia="Arial" w:cs="Arial"/>
          <w:color w:val="000000"/>
          <w:sz w:val="24"/>
          <w:szCs w:val="24"/>
        </w:rPr>
      </w:pPr>
      <w:r>
        <w:rPr>
          <w:rFonts w:ascii="Arial" w:hAnsi="Arial" w:eastAsia="Arial" w:cs="Arial"/>
          <w:color w:val="000000"/>
          <w:sz w:val="24"/>
          <w:szCs w:val="24"/>
        </w:rPr>
        <w:t>El alcance de los presentes ANS buscan estandarizar los tiempos de respuesta por parte de los Proveedores Aliados, durante las diferentes etapas o procesos derivados de la relación contractual establecida en los Acuerdos Marco, suscritos entre las partes.</w:t>
      </w:r>
    </w:p>
    <w:p w:rsidR="00882F40" w:rsidRDefault="00730698" w14:paraId="67B13B0D" w14:textId="77777777">
      <w:pPr>
        <w:numPr>
          <w:ilvl w:val="0"/>
          <w:numId w:val="1"/>
        </w:numPr>
        <w:pBdr>
          <w:top w:val="nil"/>
          <w:left w:val="nil"/>
          <w:bottom w:val="nil"/>
          <w:right w:val="nil"/>
          <w:between w:val="nil"/>
        </w:pBdr>
        <w:spacing w:line="240" w:lineRule="auto"/>
        <w:jc w:val="both"/>
        <w:rPr>
          <w:rFonts w:ascii="Arial" w:hAnsi="Arial" w:eastAsia="Arial" w:cs="Arial"/>
          <w:b/>
          <w:color w:val="000000"/>
          <w:sz w:val="24"/>
          <w:szCs w:val="24"/>
        </w:rPr>
      </w:pPr>
      <w:r>
        <w:rPr>
          <w:rFonts w:ascii="Arial" w:hAnsi="Arial" w:eastAsia="Arial" w:cs="Arial"/>
          <w:b/>
          <w:color w:val="000000"/>
          <w:sz w:val="24"/>
          <w:szCs w:val="24"/>
        </w:rPr>
        <w:t>MARCO LEGAL</w:t>
      </w:r>
    </w:p>
    <w:p w:rsidR="00882F40" w:rsidRDefault="00730698" w14:paraId="1533526B" w14:textId="77777777">
      <w:pPr>
        <w:numPr>
          <w:ilvl w:val="0"/>
          <w:numId w:val="5"/>
        </w:numPr>
        <w:pBdr>
          <w:top w:val="nil"/>
          <w:left w:val="nil"/>
          <w:bottom w:val="nil"/>
          <w:right w:val="nil"/>
          <w:between w:val="nil"/>
        </w:pBdr>
        <w:spacing w:line="240" w:lineRule="auto"/>
        <w:jc w:val="both"/>
        <w:rPr>
          <w:rFonts w:ascii="Arial" w:hAnsi="Arial" w:eastAsia="Arial" w:cs="Arial"/>
          <w:color w:val="000000"/>
          <w:sz w:val="24"/>
          <w:szCs w:val="24"/>
        </w:rPr>
      </w:pPr>
      <w:r>
        <w:rPr>
          <w:rFonts w:ascii="Arial" w:hAnsi="Arial" w:eastAsia="Arial" w:cs="Arial"/>
          <w:color w:val="000000"/>
          <w:sz w:val="24"/>
          <w:szCs w:val="24"/>
        </w:rPr>
        <w:t xml:space="preserve">Ley 872 de 2003 el sistema de gestión de la calidad tendrá́ un enfoque basado en los procesos. </w:t>
      </w:r>
    </w:p>
    <w:p w:rsidR="00882F40" w:rsidRDefault="00730698" w14:paraId="6CED8D8A" w14:textId="77777777">
      <w:pPr>
        <w:numPr>
          <w:ilvl w:val="0"/>
          <w:numId w:val="5"/>
        </w:numPr>
        <w:pBdr>
          <w:top w:val="nil"/>
          <w:left w:val="nil"/>
          <w:bottom w:val="nil"/>
          <w:right w:val="nil"/>
          <w:between w:val="nil"/>
        </w:pBdr>
        <w:spacing w:line="240" w:lineRule="auto"/>
        <w:jc w:val="both"/>
        <w:rPr>
          <w:rFonts w:ascii="Arial" w:hAnsi="Arial" w:eastAsia="Arial" w:cs="Arial"/>
          <w:color w:val="000000"/>
          <w:sz w:val="24"/>
          <w:szCs w:val="24"/>
        </w:rPr>
      </w:pPr>
      <w:r>
        <w:rPr>
          <w:rFonts w:ascii="Arial" w:hAnsi="Arial" w:eastAsia="Arial" w:cs="Arial"/>
          <w:color w:val="000000"/>
          <w:sz w:val="24"/>
          <w:szCs w:val="24"/>
        </w:rPr>
        <w:t xml:space="preserve">Ley 1712 de 2014, sobre transparencia y acceso a la información. </w:t>
      </w:r>
    </w:p>
    <w:p w:rsidR="00882F40" w:rsidRDefault="00730698" w14:paraId="705BC996" w14:textId="77777777">
      <w:pPr>
        <w:numPr>
          <w:ilvl w:val="0"/>
          <w:numId w:val="5"/>
        </w:numPr>
        <w:pBdr>
          <w:top w:val="nil"/>
          <w:left w:val="nil"/>
          <w:bottom w:val="nil"/>
          <w:right w:val="nil"/>
          <w:between w:val="nil"/>
        </w:pBdr>
        <w:spacing w:line="240" w:lineRule="auto"/>
        <w:jc w:val="both"/>
        <w:rPr>
          <w:rFonts w:ascii="Arial" w:hAnsi="Arial" w:eastAsia="Arial" w:cs="Arial"/>
          <w:color w:val="000000"/>
          <w:sz w:val="24"/>
          <w:szCs w:val="24"/>
        </w:rPr>
      </w:pPr>
      <w:r>
        <w:rPr>
          <w:rFonts w:ascii="Arial" w:hAnsi="Arial" w:eastAsia="Arial" w:cs="Arial"/>
          <w:color w:val="000000"/>
          <w:sz w:val="24"/>
          <w:szCs w:val="24"/>
        </w:rPr>
        <w:t xml:space="preserve">Decreto 1826 de 1994 mecanismos de evaluación y control de gestión en las organizaciones. </w:t>
      </w:r>
    </w:p>
    <w:p w:rsidR="00882F40" w:rsidRDefault="00730698" w14:paraId="0C517369" w14:textId="77777777">
      <w:pPr>
        <w:numPr>
          <w:ilvl w:val="0"/>
          <w:numId w:val="5"/>
        </w:numPr>
        <w:pBdr>
          <w:top w:val="nil"/>
          <w:left w:val="nil"/>
          <w:bottom w:val="nil"/>
          <w:right w:val="nil"/>
          <w:between w:val="nil"/>
        </w:pBdr>
        <w:spacing w:line="240" w:lineRule="auto"/>
        <w:jc w:val="both"/>
        <w:rPr>
          <w:rFonts w:ascii="Arial" w:hAnsi="Arial" w:eastAsia="Arial" w:cs="Arial"/>
          <w:color w:val="000000"/>
          <w:sz w:val="24"/>
          <w:szCs w:val="24"/>
        </w:rPr>
      </w:pPr>
      <w:r>
        <w:rPr>
          <w:rFonts w:ascii="Arial" w:hAnsi="Arial" w:eastAsia="Arial" w:cs="Arial"/>
          <w:color w:val="000000"/>
          <w:sz w:val="24"/>
          <w:szCs w:val="24"/>
        </w:rPr>
        <w:t xml:space="preserve">Decreto 019 de 2012 sobre anti trámites, procedimientos y regulaciones innecesarios. </w:t>
      </w:r>
    </w:p>
    <w:p w:rsidR="00882F40" w:rsidRDefault="00730698" w14:paraId="2BC5369F" w14:textId="77777777">
      <w:pPr>
        <w:numPr>
          <w:ilvl w:val="0"/>
          <w:numId w:val="1"/>
        </w:numPr>
        <w:pBdr>
          <w:top w:val="nil"/>
          <w:left w:val="nil"/>
          <w:bottom w:val="nil"/>
          <w:right w:val="nil"/>
          <w:between w:val="nil"/>
        </w:pBdr>
        <w:spacing w:line="240" w:lineRule="auto"/>
        <w:jc w:val="both"/>
        <w:rPr>
          <w:rFonts w:ascii="Arial" w:hAnsi="Arial" w:eastAsia="Arial" w:cs="Arial"/>
          <w:b/>
          <w:color w:val="000000"/>
          <w:sz w:val="24"/>
          <w:szCs w:val="24"/>
        </w:rPr>
      </w:pPr>
      <w:r>
        <w:rPr>
          <w:rFonts w:ascii="Arial" w:hAnsi="Arial" w:eastAsia="Arial" w:cs="Arial"/>
          <w:b/>
          <w:color w:val="000000"/>
          <w:sz w:val="24"/>
          <w:szCs w:val="24"/>
        </w:rPr>
        <w:t>ASPECTOS DE LOS ACUERDOS DE NIVELES DE SERVICIO - ANS</w:t>
      </w:r>
    </w:p>
    <w:p w:rsidR="00882F40" w:rsidRDefault="00730698" w14:paraId="47CD436F" w14:textId="77777777">
      <w:pPr>
        <w:pBdr>
          <w:top w:val="nil"/>
          <w:left w:val="nil"/>
          <w:bottom w:val="nil"/>
          <w:right w:val="nil"/>
          <w:between w:val="nil"/>
        </w:pBdr>
        <w:spacing w:line="240" w:lineRule="auto"/>
        <w:ind w:left="708"/>
        <w:jc w:val="both"/>
        <w:rPr>
          <w:rFonts w:ascii="Arial" w:hAnsi="Arial" w:eastAsia="Arial" w:cs="Arial"/>
          <w:color w:val="000000"/>
          <w:sz w:val="24"/>
          <w:szCs w:val="24"/>
        </w:rPr>
      </w:pPr>
      <w:r>
        <w:rPr>
          <w:rFonts w:ascii="Arial" w:hAnsi="Arial" w:eastAsia="Arial" w:cs="Arial"/>
          <w:color w:val="000000"/>
          <w:sz w:val="24"/>
          <w:szCs w:val="24"/>
        </w:rPr>
        <w:t>Los siguientes aspectos relacionan la categorización a tener en cuenta para realizar la medición de los Niveles de Servicio y el tiempo requerido para el cumplimiento de los mismos, así́:</w:t>
      </w:r>
    </w:p>
    <w:p w:rsidR="00882F40" w:rsidRDefault="00730698" w14:paraId="28A0D2B7" w14:textId="77777777">
      <w:pPr>
        <w:numPr>
          <w:ilvl w:val="1"/>
          <w:numId w:val="1"/>
        </w:numPr>
        <w:pBdr>
          <w:top w:val="nil"/>
          <w:left w:val="nil"/>
          <w:bottom w:val="nil"/>
          <w:right w:val="nil"/>
          <w:between w:val="nil"/>
        </w:pBdr>
        <w:spacing w:line="240" w:lineRule="auto"/>
        <w:jc w:val="both"/>
        <w:rPr>
          <w:rFonts w:ascii="Arial" w:hAnsi="Arial" w:eastAsia="Arial" w:cs="Arial"/>
          <w:b/>
          <w:color w:val="000000"/>
          <w:sz w:val="24"/>
          <w:szCs w:val="24"/>
        </w:rPr>
      </w:pPr>
      <w:r>
        <w:rPr>
          <w:rFonts w:ascii="Arial" w:hAnsi="Arial" w:eastAsia="Arial" w:cs="Arial"/>
          <w:b/>
          <w:color w:val="000000"/>
          <w:sz w:val="24"/>
          <w:szCs w:val="24"/>
        </w:rPr>
        <w:t>COTIZACIONES DEL SERVICIO</w:t>
      </w:r>
    </w:p>
    <w:p w:rsidR="00882F40" w:rsidRDefault="00882F40" w14:paraId="3CC084B5" w14:textId="77777777">
      <w:pPr>
        <w:pBdr>
          <w:top w:val="nil"/>
          <w:left w:val="nil"/>
          <w:bottom w:val="nil"/>
          <w:right w:val="nil"/>
          <w:between w:val="nil"/>
        </w:pBdr>
        <w:spacing w:line="240" w:lineRule="auto"/>
        <w:ind w:left="720"/>
        <w:jc w:val="both"/>
        <w:rPr>
          <w:rFonts w:ascii="Arial" w:hAnsi="Arial" w:eastAsia="Arial" w:cs="Arial"/>
          <w:b/>
          <w:color w:val="000000"/>
          <w:sz w:val="24"/>
          <w:szCs w:val="24"/>
        </w:rPr>
      </w:pPr>
    </w:p>
    <w:p w:rsidR="00882F40" w:rsidRDefault="00882F40" w14:paraId="40AFDF82" w14:textId="77777777">
      <w:pPr>
        <w:pBdr>
          <w:top w:val="nil"/>
          <w:left w:val="nil"/>
          <w:bottom w:val="nil"/>
          <w:right w:val="nil"/>
          <w:between w:val="nil"/>
        </w:pBdr>
        <w:spacing w:line="240" w:lineRule="auto"/>
        <w:ind w:left="720"/>
        <w:jc w:val="both"/>
        <w:rPr>
          <w:rFonts w:ascii="Arial" w:hAnsi="Arial" w:eastAsia="Arial" w:cs="Arial"/>
          <w:b/>
          <w:color w:val="000000"/>
          <w:sz w:val="24"/>
          <w:szCs w:val="24"/>
        </w:rPr>
      </w:pPr>
    </w:p>
    <w:tbl>
      <w:tblPr>
        <w:tblStyle w:val="a"/>
        <w:tblW w:w="8108" w:type="dxa"/>
        <w:tblInd w:w="7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734"/>
        <w:gridCol w:w="2687"/>
        <w:gridCol w:w="2687"/>
      </w:tblGrid>
      <w:tr w:rsidR="00882F40" w14:paraId="196F466C" w14:textId="77777777">
        <w:tc>
          <w:tcPr>
            <w:tcW w:w="2734" w:type="dxa"/>
          </w:tcPr>
          <w:p w:rsidR="00882F40" w:rsidRDefault="00730698" w14:paraId="361E4A34" w14:textId="77777777">
            <w:pPr>
              <w:pBdr>
                <w:top w:val="nil"/>
                <w:left w:val="nil"/>
                <w:bottom w:val="nil"/>
                <w:right w:val="nil"/>
                <w:between w:val="nil"/>
              </w:pBdr>
              <w:jc w:val="both"/>
              <w:rPr>
                <w:rFonts w:ascii="Arial" w:hAnsi="Arial" w:eastAsia="Arial" w:cs="Arial"/>
                <w:b/>
                <w:color w:val="000000"/>
                <w:sz w:val="24"/>
                <w:szCs w:val="24"/>
              </w:rPr>
            </w:pPr>
            <w:r>
              <w:rPr>
                <w:rFonts w:ascii="Arial" w:hAnsi="Arial" w:eastAsia="Arial" w:cs="Arial"/>
                <w:b/>
                <w:color w:val="000000"/>
                <w:sz w:val="24"/>
                <w:szCs w:val="24"/>
              </w:rPr>
              <w:t>Servicio</w:t>
            </w:r>
          </w:p>
        </w:tc>
        <w:tc>
          <w:tcPr>
            <w:tcW w:w="2687" w:type="dxa"/>
          </w:tcPr>
          <w:p w:rsidR="00882F40" w:rsidRDefault="00730698" w14:paraId="43118DC6" w14:textId="77777777">
            <w:pPr>
              <w:pBdr>
                <w:top w:val="nil"/>
                <w:left w:val="nil"/>
                <w:bottom w:val="nil"/>
                <w:right w:val="nil"/>
                <w:between w:val="nil"/>
              </w:pBdr>
              <w:jc w:val="both"/>
              <w:rPr>
                <w:rFonts w:ascii="Arial" w:hAnsi="Arial" w:eastAsia="Arial" w:cs="Arial"/>
                <w:b/>
                <w:color w:val="000000"/>
                <w:sz w:val="24"/>
                <w:szCs w:val="24"/>
              </w:rPr>
            </w:pPr>
            <w:r>
              <w:rPr>
                <w:rFonts w:ascii="Arial" w:hAnsi="Arial" w:eastAsia="Arial" w:cs="Arial"/>
                <w:b/>
                <w:color w:val="000000"/>
                <w:sz w:val="24"/>
                <w:szCs w:val="24"/>
              </w:rPr>
              <w:t>Cotización estándar</w:t>
            </w:r>
          </w:p>
        </w:tc>
        <w:tc>
          <w:tcPr>
            <w:tcW w:w="2687" w:type="dxa"/>
          </w:tcPr>
          <w:p w:rsidR="00882F40" w:rsidRDefault="00730698" w14:paraId="1378B974" w14:textId="77777777">
            <w:pPr>
              <w:pBdr>
                <w:top w:val="nil"/>
                <w:left w:val="nil"/>
                <w:bottom w:val="nil"/>
                <w:right w:val="nil"/>
                <w:between w:val="nil"/>
              </w:pBdr>
              <w:jc w:val="both"/>
              <w:rPr>
                <w:rFonts w:ascii="Arial" w:hAnsi="Arial" w:eastAsia="Arial" w:cs="Arial"/>
                <w:b/>
                <w:color w:val="000000"/>
                <w:sz w:val="24"/>
                <w:szCs w:val="24"/>
              </w:rPr>
            </w:pPr>
            <w:r>
              <w:rPr>
                <w:rFonts w:ascii="Arial" w:hAnsi="Arial" w:eastAsia="Arial" w:cs="Arial"/>
                <w:b/>
                <w:color w:val="000000"/>
                <w:sz w:val="24"/>
                <w:szCs w:val="24"/>
              </w:rPr>
              <w:t>Cotización prioritaria</w:t>
            </w:r>
          </w:p>
        </w:tc>
      </w:tr>
      <w:tr w:rsidR="00882F40" w14:paraId="2AC6AF07" w14:textId="77777777">
        <w:tc>
          <w:tcPr>
            <w:tcW w:w="2734" w:type="dxa"/>
          </w:tcPr>
          <w:p w:rsidR="00882F40" w:rsidRDefault="00730698" w14:paraId="5CED6850" w14:textId="77777777">
            <w:pPr>
              <w:pBdr>
                <w:top w:val="nil"/>
                <w:left w:val="nil"/>
                <w:bottom w:val="nil"/>
                <w:right w:val="nil"/>
                <w:between w:val="nil"/>
              </w:pBdr>
              <w:jc w:val="both"/>
              <w:rPr>
                <w:rFonts w:ascii="Arial" w:hAnsi="Arial" w:eastAsia="Arial" w:cs="Arial"/>
                <w:color w:val="000000"/>
                <w:sz w:val="24"/>
                <w:szCs w:val="24"/>
              </w:rPr>
            </w:pPr>
            <w:r>
              <w:rPr>
                <w:rFonts w:ascii="Arial" w:hAnsi="Arial" w:eastAsia="Arial" w:cs="Arial"/>
                <w:color w:val="000000"/>
                <w:sz w:val="24"/>
                <w:szCs w:val="24"/>
              </w:rPr>
              <w:t>Alimentación</w:t>
            </w:r>
          </w:p>
        </w:tc>
        <w:tc>
          <w:tcPr>
            <w:tcW w:w="2687" w:type="dxa"/>
          </w:tcPr>
          <w:p w:rsidR="00882F40" w:rsidRDefault="00730698" w14:paraId="1AC79F0E" w14:textId="77777777">
            <w:pPr>
              <w:pBdr>
                <w:top w:val="nil"/>
                <w:left w:val="nil"/>
                <w:bottom w:val="nil"/>
                <w:right w:val="nil"/>
                <w:between w:val="nil"/>
              </w:pBdr>
              <w:jc w:val="both"/>
              <w:rPr>
                <w:rFonts w:ascii="Arial" w:hAnsi="Arial" w:eastAsia="Arial" w:cs="Arial"/>
                <w:color w:val="000000"/>
                <w:sz w:val="24"/>
                <w:szCs w:val="24"/>
              </w:rPr>
            </w:pPr>
            <w:r>
              <w:rPr>
                <w:rFonts w:ascii="Arial" w:hAnsi="Arial" w:eastAsia="Arial" w:cs="Arial"/>
                <w:color w:val="000000"/>
                <w:sz w:val="24"/>
                <w:szCs w:val="24"/>
              </w:rPr>
              <w:t>Entre 4 y hasta 24 Horas</w:t>
            </w:r>
          </w:p>
        </w:tc>
        <w:tc>
          <w:tcPr>
            <w:tcW w:w="2687" w:type="dxa"/>
          </w:tcPr>
          <w:p w:rsidR="00882F40" w:rsidRDefault="00730698" w14:paraId="772D9554" w14:textId="77777777">
            <w:pPr>
              <w:pBdr>
                <w:top w:val="nil"/>
                <w:left w:val="nil"/>
                <w:bottom w:val="nil"/>
                <w:right w:val="nil"/>
                <w:between w:val="nil"/>
              </w:pBdr>
              <w:jc w:val="both"/>
              <w:rPr>
                <w:rFonts w:ascii="Arial" w:hAnsi="Arial" w:eastAsia="Arial" w:cs="Arial"/>
                <w:color w:val="000000"/>
                <w:sz w:val="24"/>
                <w:szCs w:val="24"/>
              </w:rPr>
            </w:pPr>
            <w:r>
              <w:rPr>
                <w:rFonts w:ascii="Arial" w:hAnsi="Arial" w:eastAsia="Arial" w:cs="Arial"/>
                <w:color w:val="000000"/>
                <w:sz w:val="24"/>
                <w:szCs w:val="24"/>
              </w:rPr>
              <w:t>Entre 1 y hasta 4 Horas</w:t>
            </w:r>
          </w:p>
        </w:tc>
      </w:tr>
      <w:tr w:rsidR="00882F40" w14:paraId="15E60D52" w14:textId="77777777">
        <w:tc>
          <w:tcPr>
            <w:tcW w:w="2734" w:type="dxa"/>
          </w:tcPr>
          <w:p w:rsidR="00882F40" w:rsidRDefault="00730698" w14:paraId="23356E98" w14:textId="77777777">
            <w:pPr>
              <w:pBdr>
                <w:top w:val="nil"/>
                <w:left w:val="nil"/>
                <w:bottom w:val="nil"/>
                <w:right w:val="nil"/>
                <w:between w:val="nil"/>
              </w:pBdr>
              <w:jc w:val="both"/>
              <w:rPr>
                <w:rFonts w:ascii="Arial" w:hAnsi="Arial" w:eastAsia="Arial" w:cs="Arial"/>
                <w:color w:val="000000"/>
                <w:sz w:val="24"/>
                <w:szCs w:val="24"/>
              </w:rPr>
            </w:pPr>
            <w:r>
              <w:rPr>
                <w:rFonts w:ascii="Arial" w:hAnsi="Arial" w:eastAsia="Arial" w:cs="Arial"/>
                <w:color w:val="000000"/>
                <w:sz w:val="24"/>
                <w:szCs w:val="24"/>
              </w:rPr>
              <w:t>Logística Integral ()</w:t>
            </w:r>
          </w:p>
        </w:tc>
        <w:tc>
          <w:tcPr>
            <w:tcW w:w="2687" w:type="dxa"/>
          </w:tcPr>
          <w:p w:rsidR="00882F40" w:rsidRDefault="00730698" w14:paraId="53E088E5" w14:textId="77777777">
            <w:pPr>
              <w:pBdr>
                <w:top w:val="nil"/>
                <w:left w:val="nil"/>
                <w:bottom w:val="nil"/>
                <w:right w:val="nil"/>
                <w:between w:val="nil"/>
              </w:pBdr>
              <w:jc w:val="both"/>
              <w:rPr>
                <w:rFonts w:ascii="Arial" w:hAnsi="Arial" w:eastAsia="Arial" w:cs="Arial"/>
                <w:color w:val="000000"/>
                <w:sz w:val="24"/>
                <w:szCs w:val="24"/>
              </w:rPr>
            </w:pPr>
            <w:r>
              <w:rPr>
                <w:rFonts w:ascii="Arial" w:hAnsi="Arial" w:eastAsia="Arial" w:cs="Arial"/>
                <w:color w:val="000000"/>
                <w:sz w:val="24"/>
                <w:szCs w:val="24"/>
              </w:rPr>
              <w:t>Entre 4 y hasta 36 Horas</w:t>
            </w:r>
          </w:p>
        </w:tc>
        <w:tc>
          <w:tcPr>
            <w:tcW w:w="2687" w:type="dxa"/>
          </w:tcPr>
          <w:p w:rsidR="00882F40" w:rsidRDefault="00730698" w14:paraId="67F0A490" w14:textId="77777777">
            <w:pPr>
              <w:pBdr>
                <w:top w:val="nil"/>
                <w:left w:val="nil"/>
                <w:bottom w:val="nil"/>
                <w:right w:val="nil"/>
                <w:between w:val="nil"/>
              </w:pBdr>
              <w:jc w:val="both"/>
              <w:rPr>
                <w:rFonts w:ascii="Arial" w:hAnsi="Arial" w:eastAsia="Arial" w:cs="Arial"/>
                <w:color w:val="000000"/>
                <w:sz w:val="24"/>
                <w:szCs w:val="24"/>
              </w:rPr>
            </w:pPr>
            <w:r>
              <w:rPr>
                <w:rFonts w:ascii="Arial" w:hAnsi="Arial" w:eastAsia="Arial" w:cs="Arial"/>
                <w:color w:val="000000"/>
                <w:sz w:val="24"/>
                <w:szCs w:val="24"/>
              </w:rPr>
              <w:t>Entre 1 y hasta 12 Horas</w:t>
            </w:r>
          </w:p>
        </w:tc>
      </w:tr>
    </w:tbl>
    <w:p w:rsidR="00882F40" w:rsidRDefault="00882F40" w14:paraId="6417AA34" w14:textId="77777777">
      <w:pPr>
        <w:spacing w:after="0" w:line="240" w:lineRule="auto"/>
        <w:ind w:left="360"/>
        <w:jc w:val="both"/>
        <w:rPr>
          <w:rFonts w:ascii="Arial" w:hAnsi="Arial" w:eastAsia="Arial" w:cs="Arial"/>
          <w:color w:val="000000"/>
          <w:sz w:val="24"/>
          <w:szCs w:val="24"/>
        </w:rPr>
      </w:pPr>
    </w:p>
    <w:p w:rsidR="00882F40" w:rsidRDefault="00730698" w14:paraId="7AE96C92" w14:textId="77777777">
      <w:pPr>
        <w:spacing w:after="0" w:line="240" w:lineRule="auto"/>
        <w:ind w:left="360"/>
        <w:jc w:val="both"/>
        <w:rPr>
          <w:rFonts w:ascii="Arial" w:hAnsi="Arial" w:eastAsia="Arial" w:cs="Arial"/>
          <w:color w:val="000000"/>
          <w:sz w:val="24"/>
          <w:szCs w:val="24"/>
        </w:rPr>
      </w:pPr>
      <w:r>
        <w:rPr>
          <w:rFonts w:ascii="Arial" w:hAnsi="Arial" w:eastAsia="Arial" w:cs="Arial"/>
          <w:b/>
          <w:color w:val="000000"/>
          <w:sz w:val="24"/>
          <w:szCs w:val="24"/>
        </w:rPr>
        <w:t>Observación:</w:t>
      </w:r>
      <w:r>
        <w:rPr>
          <w:rFonts w:ascii="Arial" w:hAnsi="Arial" w:eastAsia="Arial" w:cs="Arial"/>
          <w:color w:val="000000"/>
          <w:sz w:val="24"/>
          <w:szCs w:val="24"/>
        </w:rPr>
        <w:t xml:space="preserve"> La negación a prestar el servicio o la no presentación de cotización en dos (2) oportunidades continuas, podrá constituir causal suficiente para que </w:t>
      </w:r>
      <w:proofErr w:type="gramStart"/>
      <w:r>
        <w:rPr>
          <w:rFonts w:ascii="Arial" w:hAnsi="Arial" w:eastAsia="Arial" w:cs="Arial"/>
          <w:color w:val="000000"/>
          <w:sz w:val="24"/>
          <w:szCs w:val="24"/>
        </w:rPr>
        <w:t>Activa</w:t>
      </w:r>
      <w:proofErr w:type="gramEnd"/>
      <w:r>
        <w:rPr>
          <w:rFonts w:ascii="Arial" w:hAnsi="Arial" w:eastAsia="Arial" w:cs="Arial"/>
          <w:color w:val="000000"/>
          <w:sz w:val="24"/>
          <w:szCs w:val="24"/>
        </w:rPr>
        <w:t xml:space="preserve"> suspenda el envío de solicitudes para presentar ofertas durante (90) noventa días. El medio para establecer la medición del servicio será vía correo electrónico.</w:t>
      </w:r>
    </w:p>
    <w:p w:rsidR="00882F40" w:rsidRDefault="00882F40" w14:paraId="67F71B84" w14:textId="77777777">
      <w:pPr>
        <w:spacing w:after="0" w:line="240" w:lineRule="auto"/>
        <w:ind w:left="360"/>
        <w:jc w:val="both"/>
        <w:rPr>
          <w:rFonts w:ascii="Arial" w:hAnsi="Arial" w:eastAsia="Arial" w:cs="Arial"/>
          <w:color w:val="000000"/>
          <w:sz w:val="24"/>
          <w:szCs w:val="24"/>
        </w:rPr>
      </w:pPr>
    </w:p>
    <w:p w:rsidR="00882F40" w:rsidRDefault="00730698" w14:paraId="0DE7882C" w14:textId="77777777">
      <w:pPr>
        <w:spacing w:after="0" w:line="240" w:lineRule="auto"/>
        <w:ind w:left="360"/>
        <w:jc w:val="both"/>
        <w:rPr>
          <w:rFonts w:ascii="Arial" w:hAnsi="Arial" w:eastAsia="Arial" w:cs="Arial"/>
          <w:color w:val="242424"/>
          <w:sz w:val="24"/>
          <w:szCs w:val="24"/>
        </w:rPr>
      </w:pPr>
      <w:r>
        <w:rPr>
          <w:rFonts w:ascii="Arial" w:hAnsi="Arial" w:eastAsia="Arial" w:cs="Arial"/>
          <w:b/>
          <w:sz w:val="24"/>
          <w:szCs w:val="24"/>
        </w:rPr>
        <w:t>Explicación de la configuración para objetivos de servicio - ANS</w:t>
      </w:r>
    </w:p>
    <w:p w:rsidR="00882F40" w:rsidRDefault="00730698" w14:paraId="065FC512" w14:textId="77777777">
      <w:pPr>
        <w:pBdr>
          <w:top w:val="nil"/>
          <w:left w:val="nil"/>
          <w:bottom w:val="nil"/>
          <w:right w:val="nil"/>
          <w:between w:val="nil"/>
        </w:pBdr>
        <w:spacing w:line="240" w:lineRule="auto"/>
        <w:ind w:left="360"/>
        <w:jc w:val="both"/>
        <w:rPr>
          <w:rFonts w:ascii="Arial" w:hAnsi="Arial" w:eastAsia="Arial" w:cs="Arial"/>
          <w:color w:val="000000"/>
          <w:sz w:val="24"/>
          <w:szCs w:val="24"/>
        </w:rPr>
      </w:pPr>
      <w:r>
        <w:rPr>
          <w:rFonts w:ascii="Arial" w:hAnsi="Arial" w:eastAsia="Arial" w:cs="Arial"/>
          <w:color w:val="000000"/>
          <w:sz w:val="24"/>
          <w:szCs w:val="24"/>
        </w:rPr>
        <w:t>Partiendo de la premisa de que se inicia con la fase de cotización, se denomina:</w:t>
      </w:r>
    </w:p>
    <w:p w:rsidR="00882F40" w:rsidRDefault="00730698" w14:paraId="23180926" w14:textId="77777777">
      <w:pPr>
        <w:pBdr>
          <w:top w:val="nil"/>
          <w:left w:val="nil"/>
          <w:bottom w:val="nil"/>
          <w:right w:val="nil"/>
          <w:between w:val="nil"/>
        </w:pBdr>
        <w:spacing w:line="240" w:lineRule="auto"/>
        <w:ind w:left="360"/>
        <w:jc w:val="both"/>
        <w:rPr>
          <w:rFonts w:ascii="Arial" w:hAnsi="Arial" w:eastAsia="Arial" w:cs="Arial"/>
          <w:color w:val="000000"/>
          <w:sz w:val="24"/>
          <w:szCs w:val="24"/>
        </w:rPr>
      </w:pPr>
      <w:r>
        <w:rPr>
          <w:rFonts w:ascii="Arial" w:hAnsi="Arial" w:eastAsia="Arial" w:cs="Arial"/>
          <w:b/>
          <w:color w:val="000000"/>
          <w:sz w:val="24"/>
          <w:szCs w:val="24"/>
        </w:rPr>
        <w:t>Estándar:</w:t>
      </w:r>
      <w:r>
        <w:rPr>
          <w:rFonts w:ascii="Arial" w:hAnsi="Arial" w:eastAsia="Arial" w:cs="Arial"/>
          <w:color w:val="000000"/>
          <w:sz w:val="24"/>
          <w:szCs w:val="24"/>
        </w:rPr>
        <w:t xml:space="preserve"> Se define como el tiempo prudencial establecido para adquirir el servicio.</w:t>
      </w:r>
    </w:p>
    <w:p w:rsidR="00882F40" w:rsidRDefault="00730698" w14:paraId="6C23C6D3" w14:textId="77777777">
      <w:pPr>
        <w:pBdr>
          <w:top w:val="nil"/>
          <w:left w:val="nil"/>
          <w:bottom w:val="nil"/>
          <w:right w:val="nil"/>
          <w:between w:val="nil"/>
        </w:pBdr>
        <w:spacing w:line="240" w:lineRule="auto"/>
        <w:ind w:left="360"/>
        <w:jc w:val="both"/>
        <w:rPr>
          <w:rFonts w:ascii="Arial" w:hAnsi="Arial" w:eastAsia="Arial" w:cs="Arial"/>
          <w:color w:val="000000"/>
          <w:sz w:val="24"/>
          <w:szCs w:val="24"/>
        </w:rPr>
      </w:pPr>
      <w:r>
        <w:rPr>
          <w:rFonts w:ascii="Arial" w:hAnsi="Arial" w:eastAsia="Arial" w:cs="Arial"/>
          <w:b/>
          <w:color w:val="000000"/>
          <w:sz w:val="24"/>
          <w:szCs w:val="24"/>
        </w:rPr>
        <w:t>Prioritaria:</w:t>
      </w:r>
      <w:r>
        <w:rPr>
          <w:rFonts w:ascii="Arial" w:hAnsi="Arial" w:eastAsia="Arial" w:cs="Arial"/>
          <w:color w:val="000000"/>
          <w:sz w:val="24"/>
          <w:szCs w:val="24"/>
        </w:rPr>
        <w:t xml:space="preserve"> Cuando su operación es crítica, requiere un tiempo menor de cotización</w:t>
      </w:r>
    </w:p>
    <w:p w:rsidR="00882F40" w:rsidRDefault="00730698" w14:paraId="338F8C8E" w14:textId="77777777">
      <w:pPr>
        <w:pBdr>
          <w:top w:val="nil"/>
          <w:left w:val="nil"/>
          <w:bottom w:val="nil"/>
          <w:right w:val="nil"/>
          <w:between w:val="nil"/>
        </w:pBdr>
        <w:spacing w:line="240" w:lineRule="auto"/>
        <w:ind w:left="360"/>
        <w:jc w:val="both"/>
        <w:rPr>
          <w:rFonts w:ascii="Arial" w:hAnsi="Arial" w:eastAsia="Arial" w:cs="Arial"/>
          <w:color w:val="000000"/>
          <w:sz w:val="24"/>
          <w:szCs w:val="24"/>
        </w:rPr>
      </w:pPr>
      <w:r>
        <w:rPr>
          <w:rFonts w:ascii="Arial" w:hAnsi="Arial" w:eastAsia="Arial" w:cs="Arial"/>
          <w:b/>
          <w:color w:val="000000"/>
          <w:sz w:val="24"/>
          <w:szCs w:val="24"/>
        </w:rPr>
        <w:t>Observación:</w:t>
      </w:r>
      <w:r>
        <w:rPr>
          <w:rFonts w:ascii="Arial" w:hAnsi="Arial" w:eastAsia="Arial" w:cs="Arial"/>
          <w:color w:val="000000"/>
          <w:sz w:val="24"/>
          <w:szCs w:val="24"/>
        </w:rPr>
        <w:t xml:space="preserve"> El ejecutivo comercial será quien establezca la configuración de prioridad de urgencia. Así mismo todas las cotizaciones deben cumplir con el tarifario establecido en las condiciones de </w:t>
      </w:r>
      <w:r>
        <w:rPr>
          <w:rFonts w:ascii="Arial" w:hAnsi="Arial" w:eastAsia="Arial" w:cs="Arial"/>
          <w:b/>
          <w:color w:val="000000"/>
          <w:sz w:val="24"/>
          <w:szCs w:val="24"/>
        </w:rPr>
        <w:t>invitación abierta.</w:t>
      </w:r>
    </w:p>
    <w:p w:rsidR="00882F40" w:rsidRDefault="00730698" w14:paraId="250FFFD3" w14:textId="77777777">
      <w:pPr>
        <w:pBdr>
          <w:top w:val="nil"/>
          <w:left w:val="nil"/>
          <w:bottom w:val="nil"/>
          <w:right w:val="nil"/>
          <w:between w:val="nil"/>
        </w:pBdr>
        <w:spacing w:after="0" w:line="240" w:lineRule="auto"/>
        <w:ind w:left="348"/>
        <w:jc w:val="both"/>
        <w:rPr>
          <w:rFonts w:ascii="Arial" w:hAnsi="Arial" w:eastAsia="Arial" w:cs="Arial"/>
          <w:b/>
          <w:color w:val="000000"/>
          <w:sz w:val="24"/>
          <w:szCs w:val="24"/>
        </w:rPr>
      </w:pPr>
      <w:r>
        <w:rPr>
          <w:rFonts w:ascii="Arial" w:hAnsi="Arial" w:eastAsia="Arial" w:cs="Arial"/>
          <w:b/>
          <w:color w:val="000000"/>
          <w:sz w:val="24"/>
          <w:szCs w:val="24"/>
        </w:rPr>
        <w:t>6.2 INFORMES DE EVIDENCIAS DEL SERVICIO</w:t>
      </w:r>
    </w:p>
    <w:p w:rsidR="00882F40" w:rsidRDefault="00882F40" w14:paraId="71D60C21" w14:textId="77777777">
      <w:pPr>
        <w:pBdr>
          <w:top w:val="nil"/>
          <w:left w:val="nil"/>
          <w:bottom w:val="nil"/>
          <w:right w:val="nil"/>
          <w:between w:val="nil"/>
        </w:pBdr>
        <w:spacing w:after="0" w:line="240" w:lineRule="auto"/>
        <w:ind w:left="348"/>
        <w:jc w:val="both"/>
        <w:rPr>
          <w:rFonts w:ascii="Arial" w:hAnsi="Arial" w:eastAsia="Arial" w:cs="Arial"/>
          <w:color w:val="242424"/>
          <w:sz w:val="24"/>
          <w:szCs w:val="24"/>
        </w:rPr>
      </w:pPr>
    </w:p>
    <w:p w:rsidR="00882F40" w:rsidRDefault="00730698" w14:paraId="3B9C3CF5" w14:textId="77777777">
      <w:pPr>
        <w:pBdr>
          <w:top w:val="nil"/>
          <w:left w:val="nil"/>
          <w:bottom w:val="nil"/>
          <w:right w:val="nil"/>
          <w:between w:val="nil"/>
        </w:pBdr>
        <w:spacing w:after="0" w:line="240" w:lineRule="auto"/>
        <w:ind w:left="348"/>
        <w:jc w:val="both"/>
        <w:rPr>
          <w:rFonts w:ascii="Arial" w:hAnsi="Arial" w:eastAsia="Arial" w:cs="Arial"/>
          <w:color w:val="000000"/>
          <w:sz w:val="24"/>
          <w:szCs w:val="24"/>
        </w:rPr>
      </w:pPr>
      <w:r>
        <w:rPr>
          <w:rFonts w:ascii="Arial" w:hAnsi="Arial" w:eastAsia="Arial" w:cs="Arial"/>
          <w:color w:val="000000"/>
          <w:sz w:val="24"/>
          <w:szCs w:val="24"/>
        </w:rPr>
        <w:t>Para todos los servicios prestados el proveedores deberá presentar informes de evidencias completos y dando cumplimiento a las directrices dentro de los cinco (5) días siguientes a la terminación del evento.</w:t>
      </w:r>
    </w:p>
    <w:p w:rsidR="00882F40" w:rsidRDefault="00730698" w14:paraId="73DB5D4A" w14:textId="77777777">
      <w:pPr>
        <w:pBdr>
          <w:top w:val="nil"/>
          <w:left w:val="nil"/>
          <w:bottom w:val="nil"/>
          <w:right w:val="nil"/>
          <w:between w:val="nil"/>
        </w:pBdr>
        <w:spacing w:after="0" w:line="240" w:lineRule="auto"/>
        <w:ind w:left="348"/>
        <w:jc w:val="both"/>
        <w:rPr>
          <w:rFonts w:ascii="Arial" w:hAnsi="Arial" w:eastAsia="Arial" w:cs="Arial"/>
          <w:color w:val="242424"/>
          <w:sz w:val="24"/>
          <w:szCs w:val="24"/>
        </w:rPr>
      </w:pPr>
      <w:r>
        <w:rPr>
          <w:rFonts w:ascii="Arial" w:hAnsi="Arial" w:eastAsia="Arial" w:cs="Arial"/>
          <w:color w:val="000000"/>
          <w:sz w:val="24"/>
          <w:szCs w:val="24"/>
        </w:rPr>
        <w:t> </w:t>
      </w:r>
    </w:p>
    <w:p w:rsidR="00882F40" w:rsidRDefault="00730698" w14:paraId="4196DB5D" w14:textId="77777777">
      <w:pPr>
        <w:pBdr>
          <w:top w:val="nil"/>
          <w:left w:val="nil"/>
          <w:bottom w:val="nil"/>
          <w:right w:val="nil"/>
          <w:between w:val="nil"/>
        </w:pBdr>
        <w:spacing w:after="0" w:line="240" w:lineRule="auto"/>
        <w:ind w:left="348"/>
        <w:jc w:val="both"/>
        <w:rPr>
          <w:rFonts w:ascii="Arial" w:hAnsi="Arial" w:eastAsia="Arial" w:cs="Arial"/>
          <w:color w:val="242424"/>
          <w:sz w:val="24"/>
          <w:szCs w:val="24"/>
        </w:rPr>
      </w:pPr>
      <w:r>
        <w:rPr>
          <w:rFonts w:ascii="Arial" w:hAnsi="Arial" w:eastAsia="Arial" w:cs="Arial"/>
          <w:color w:val="000000"/>
          <w:sz w:val="24"/>
          <w:szCs w:val="24"/>
        </w:rPr>
        <w:t xml:space="preserve">Conforme a lo anterior, se establece una serie de recomendaciones para la presentación del informes de evidencias y requisitos que se deberán implementar al momento de diligenciar el formato así: </w:t>
      </w:r>
    </w:p>
    <w:p w:rsidR="00882F40" w:rsidRDefault="00730698" w14:paraId="536A65D0" w14:textId="77777777">
      <w:pPr>
        <w:numPr>
          <w:ilvl w:val="0"/>
          <w:numId w:val="2"/>
        </w:numPr>
        <w:spacing w:before="280" w:after="0" w:line="240" w:lineRule="auto"/>
        <w:ind w:left="708"/>
        <w:jc w:val="both"/>
        <w:rPr>
          <w:rFonts w:ascii="Arial" w:hAnsi="Arial" w:eastAsia="Arial" w:cs="Arial"/>
          <w:sz w:val="24"/>
          <w:szCs w:val="24"/>
        </w:rPr>
      </w:pPr>
      <w:r>
        <w:rPr>
          <w:rFonts w:ascii="Arial" w:hAnsi="Arial" w:eastAsia="Arial" w:cs="Arial"/>
          <w:sz w:val="24"/>
          <w:szCs w:val="24"/>
        </w:rPr>
        <w:t xml:space="preserve">El informe debe contener evidencias de todos los ítems discriminados en la cotización de forma clara y contundente. </w:t>
      </w:r>
    </w:p>
    <w:p w:rsidR="00882F40" w:rsidRDefault="00730698" w14:paraId="33D0AD09" w14:textId="77777777">
      <w:pPr>
        <w:numPr>
          <w:ilvl w:val="0"/>
          <w:numId w:val="2"/>
        </w:numPr>
        <w:spacing w:after="0" w:line="240" w:lineRule="auto"/>
        <w:ind w:left="708"/>
        <w:jc w:val="both"/>
        <w:rPr>
          <w:rFonts w:ascii="Arial" w:hAnsi="Arial" w:eastAsia="Arial" w:cs="Arial"/>
          <w:sz w:val="24"/>
          <w:szCs w:val="24"/>
        </w:rPr>
      </w:pPr>
      <w:r>
        <w:rPr>
          <w:rFonts w:ascii="Arial" w:hAnsi="Arial" w:eastAsia="Arial" w:cs="Arial"/>
          <w:sz w:val="24"/>
          <w:szCs w:val="24"/>
        </w:rPr>
        <w:t xml:space="preserve">Cada fotografía, planilla o cualquier tipo de evidencia que sea presentada debe contar con un pie de foto con la siguiente información: ítem de la cotización evidenciado (tal y como aparece en la cotización con nombre y descripción), cantidad y Municipio. </w:t>
      </w:r>
    </w:p>
    <w:p w:rsidR="00882F40" w:rsidRDefault="00730698" w14:paraId="678B0F41" w14:textId="77777777">
      <w:pPr>
        <w:numPr>
          <w:ilvl w:val="0"/>
          <w:numId w:val="2"/>
        </w:numPr>
        <w:spacing w:after="0" w:line="240" w:lineRule="auto"/>
        <w:ind w:left="708"/>
        <w:jc w:val="both"/>
        <w:rPr>
          <w:rFonts w:ascii="Arial" w:hAnsi="Arial" w:eastAsia="Arial" w:cs="Arial"/>
          <w:sz w:val="24"/>
          <w:szCs w:val="24"/>
        </w:rPr>
      </w:pPr>
      <w:r>
        <w:rPr>
          <w:rFonts w:ascii="Arial" w:hAnsi="Arial" w:eastAsia="Arial" w:cs="Arial"/>
          <w:sz w:val="24"/>
          <w:szCs w:val="24"/>
        </w:rPr>
        <w:t xml:space="preserve">Las fotografías deben ser legibles y permitir evidenciar el servicio en operación y cantidades. </w:t>
      </w:r>
    </w:p>
    <w:p w:rsidR="00882F40" w:rsidRDefault="00730698" w14:paraId="5CD51A69" w14:textId="77777777">
      <w:pPr>
        <w:numPr>
          <w:ilvl w:val="0"/>
          <w:numId w:val="2"/>
        </w:numPr>
        <w:spacing w:after="0" w:line="240" w:lineRule="auto"/>
        <w:ind w:left="708"/>
        <w:jc w:val="both"/>
        <w:rPr>
          <w:rFonts w:ascii="Arial" w:hAnsi="Arial" w:eastAsia="Arial" w:cs="Arial"/>
          <w:sz w:val="24"/>
          <w:szCs w:val="24"/>
        </w:rPr>
      </w:pPr>
      <w:r>
        <w:rPr>
          <w:rFonts w:ascii="Arial" w:hAnsi="Arial" w:eastAsia="Arial" w:cs="Arial"/>
          <w:sz w:val="24"/>
          <w:szCs w:val="24"/>
        </w:rPr>
        <w:t xml:space="preserve">La remisión debe contener el nombre legible de quien recibe y cargo y/o función en el evento. </w:t>
      </w:r>
    </w:p>
    <w:p w:rsidR="00882F40" w:rsidRDefault="00730698" w14:paraId="76631A43" w14:textId="77777777">
      <w:pPr>
        <w:numPr>
          <w:ilvl w:val="0"/>
          <w:numId w:val="2"/>
        </w:numPr>
        <w:spacing w:after="280" w:line="240" w:lineRule="auto"/>
        <w:ind w:left="708"/>
        <w:jc w:val="both"/>
        <w:rPr>
          <w:rFonts w:ascii="Arial" w:hAnsi="Arial" w:eastAsia="Arial" w:cs="Arial"/>
          <w:sz w:val="24"/>
          <w:szCs w:val="24"/>
        </w:rPr>
      </w:pPr>
      <w:r>
        <w:rPr>
          <w:rFonts w:ascii="Arial" w:hAnsi="Arial" w:eastAsia="Arial" w:cs="Arial"/>
          <w:sz w:val="24"/>
          <w:szCs w:val="24"/>
        </w:rPr>
        <w:t xml:space="preserve">A continuación, se presentan algunos ejemplos de evidencias válidas para soportar la ejecución de los servicios: </w:t>
      </w:r>
    </w:p>
    <w:p w:rsidR="00882F40" w:rsidRDefault="00730698" w14:paraId="223FCEE1" w14:textId="77777777">
      <w:pPr>
        <w:numPr>
          <w:ilvl w:val="0"/>
          <w:numId w:val="3"/>
        </w:numPr>
        <w:spacing w:before="280" w:after="280" w:line="240" w:lineRule="auto"/>
        <w:jc w:val="both"/>
        <w:rPr>
          <w:rFonts w:ascii="Arial" w:hAnsi="Arial" w:eastAsia="Arial" w:cs="Arial"/>
          <w:sz w:val="24"/>
          <w:szCs w:val="24"/>
        </w:rPr>
      </w:pPr>
      <w:r>
        <w:rPr>
          <w:rFonts w:ascii="Arial" w:hAnsi="Arial" w:eastAsia="Arial" w:cs="Arial"/>
          <w:b/>
          <w:sz w:val="24"/>
          <w:szCs w:val="24"/>
        </w:rPr>
        <w:t>Alimentación</w:t>
      </w:r>
      <w:r>
        <w:rPr>
          <w:rFonts w:ascii="Arial" w:hAnsi="Arial" w:eastAsia="Arial" w:cs="Arial"/>
          <w:sz w:val="24"/>
          <w:szCs w:val="24"/>
        </w:rPr>
        <w:t xml:space="preserve">: fotografías del menú́ entregado, tanto en primer plano para mostrar el contenido, como planos abiertos que permitan visualizar la cantidad total, y cuando el servicio lo permita imágenes de los beneficiarios consumiendo el producto. Si en el servicio de alimentación se incluyen meseros, tablones, menajes y demás, se deberán presentar imágenes que soporten todo esto. </w:t>
      </w:r>
    </w:p>
    <w:p w:rsidR="00882F40" w:rsidRDefault="00730698" w14:paraId="04F06449" w14:textId="77777777">
      <w:pPr>
        <w:spacing w:before="280" w:after="280" w:line="240" w:lineRule="auto"/>
        <w:ind w:left="360"/>
        <w:jc w:val="both"/>
        <w:rPr>
          <w:rFonts w:ascii="Arial" w:hAnsi="Arial" w:eastAsia="Arial" w:cs="Arial"/>
          <w:sz w:val="24"/>
          <w:szCs w:val="24"/>
        </w:rPr>
      </w:pPr>
      <w:r>
        <w:rPr>
          <w:rFonts w:ascii="Arial" w:hAnsi="Arial" w:eastAsia="Arial" w:cs="Arial"/>
          <w:sz w:val="24"/>
          <w:szCs w:val="24"/>
        </w:rPr>
        <w:t xml:space="preserve">Adicional el pie de foto debe contener menú́, cantidad entregada, fecha y hora de entrega. </w:t>
      </w:r>
    </w:p>
    <w:p w:rsidR="00882F40" w:rsidRDefault="00730698" w14:paraId="5B20664A" w14:textId="77777777">
      <w:pPr>
        <w:numPr>
          <w:ilvl w:val="0"/>
          <w:numId w:val="3"/>
        </w:numPr>
        <w:spacing w:before="280" w:after="280" w:line="240" w:lineRule="auto"/>
        <w:ind w:left="360"/>
        <w:jc w:val="both"/>
        <w:rPr>
          <w:rFonts w:ascii="Arial" w:hAnsi="Arial" w:eastAsia="Arial" w:cs="Arial"/>
          <w:sz w:val="24"/>
          <w:szCs w:val="24"/>
        </w:rPr>
      </w:pPr>
      <w:r>
        <w:rPr>
          <w:rFonts w:ascii="Arial" w:hAnsi="Arial" w:eastAsia="Arial" w:cs="Arial"/>
          <w:b/>
          <w:sz w:val="24"/>
          <w:szCs w:val="24"/>
        </w:rPr>
        <w:t>Alquiler de espacios</w:t>
      </w:r>
      <w:r>
        <w:rPr>
          <w:rFonts w:ascii="Arial" w:hAnsi="Arial" w:eastAsia="Arial" w:cs="Arial"/>
          <w:sz w:val="24"/>
          <w:szCs w:val="24"/>
        </w:rPr>
        <w:t xml:space="preserve">: fotografías que permitan evidenciar el espacio contratado. Cuando previo acuerdo sea ejecutado como pagos a terceros se deberá́ presentar lo definido en el contrato para este aspecto. </w:t>
      </w:r>
    </w:p>
    <w:p w:rsidRPr="00C953C6" w:rsidR="00882F40" w:rsidP="00C953C6" w:rsidRDefault="00730698" w14:paraId="05010937" w14:textId="77777777">
      <w:pPr>
        <w:spacing w:before="280" w:after="280" w:line="240" w:lineRule="auto"/>
        <w:ind w:left="360"/>
        <w:jc w:val="both"/>
        <w:rPr>
          <w:rFonts w:ascii="Arial" w:hAnsi="Arial" w:eastAsia="Arial" w:cs="Arial"/>
          <w:bCs/>
          <w:sz w:val="24"/>
          <w:szCs w:val="24"/>
        </w:rPr>
      </w:pPr>
      <w:r>
        <w:rPr>
          <w:rFonts w:ascii="Arial" w:hAnsi="Arial" w:eastAsia="Arial" w:cs="Arial"/>
          <w:sz w:val="24"/>
          <w:szCs w:val="24"/>
        </w:rPr>
        <w:t xml:space="preserve">El pie de foto debe incluir el nombre del espacio y fecha del evento desde el </w:t>
      </w:r>
      <w:r w:rsidRPr="00C953C6">
        <w:rPr>
          <w:rFonts w:ascii="Arial" w:hAnsi="Arial" w:eastAsia="Arial" w:cs="Arial"/>
          <w:bCs/>
          <w:sz w:val="24"/>
          <w:szCs w:val="24"/>
        </w:rPr>
        <w:t xml:space="preserve">montaje hasta el desmontaje. </w:t>
      </w:r>
    </w:p>
    <w:p w:rsidR="00C953C6" w:rsidP="00C953C6" w:rsidRDefault="00C953C6" w14:paraId="463555E2" w14:textId="77777777">
      <w:pPr>
        <w:numPr>
          <w:ilvl w:val="0"/>
          <w:numId w:val="3"/>
        </w:numPr>
        <w:spacing w:before="280" w:after="280" w:line="240" w:lineRule="auto"/>
        <w:ind w:left="360"/>
        <w:jc w:val="both"/>
        <w:rPr>
          <w:rFonts w:ascii="Arial" w:hAnsi="Arial" w:eastAsia="Arial" w:cs="Arial"/>
          <w:bCs/>
          <w:sz w:val="24"/>
          <w:szCs w:val="24"/>
        </w:rPr>
      </w:pPr>
      <w:r>
        <w:rPr>
          <w:rFonts w:ascii="Arial" w:hAnsi="Arial" w:eastAsia="Arial" w:cs="Arial"/>
          <w:b/>
          <w:sz w:val="24"/>
          <w:szCs w:val="24"/>
        </w:rPr>
        <w:t>Transporte</w:t>
      </w:r>
      <w:r w:rsidRPr="00C953C6">
        <w:rPr>
          <w:rFonts w:ascii="Arial" w:hAnsi="Arial" w:eastAsia="Arial" w:cs="Arial"/>
          <w:b/>
          <w:sz w:val="24"/>
          <w:szCs w:val="24"/>
        </w:rPr>
        <w:t xml:space="preserve">: </w:t>
      </w:r>
      <w:r w:rsidRPr="00C953C6">
        <w:rPr>
          <w:rFonts w:ascii="Arial" w:hAnsi="Arial" w:eastAsia="Arial" w:cs="Arial"/>
          <w:bCs/>
          <w:sz w:val="24"/>
          <w:szCs w:val="24"/>
        </w:rPr>
        <w:t>fotografías de los vehículos donde se evidencien las</w:t>
      </w:r>
      <w:r w:rsidRPr="00C953C6">
        <w:rPr>
          <w:rFonts w:ascii="Arial" w:hAnsi="Arial" w:eastAsia="Arial" w:cs="Arial"/>
          <w:bCs/>
          <w:sz w:val="24"/>
          <w:szCs w:val="24"/>
        </w:rPr>
        <w:br/>
      </w:r>
      <w:r w:rsidRPr="00C953C6">
        <w:rPr>
          <w:rFonts w:ascii="Arial" w:hAnsi="Arial" w:eastAsia="Arial" w:cs="Arial"/>
          <w:bCs/>
          <w:sz w:val="24"/>
          <w:szCs w:val="24"/>
        </w:rPr>
        <w:t>personas haciendo uso del servicio. El pie de la foto debe contener la ruta realizada y la cantidad de personas transportadas.</w:t>
      </w:r>
    </w:p>
    <w:p w:rsidRPr="00C953C6" w:rsidR="00882F40" w:rsidP="00C953C6" w:rsidRDefault="00730698" w14:paraId="13CB3EC7" w14:textId="74C860C5">
      <w:pPr>
        <w:numPr>
          <w:ilvl w:val="0"/>
          <w:numId w:val="3"/>
        </w:numPr>
        <w:spacing w:before="280" w:after="280" w:line="240" w:lineRule="auto"/>
        <w:ind w:left="360"/>
        <w:jc w:val="both"/>
        <w:rPr>
          <w:rFonts w:ascii="Arial" w:hAnsi="Arial" w:eastAsia="Arial" w:cs="Arial"/>
          <w:bCs/>
          <w:sz w:val="24"/>
          <w:szCs w:val="24"/>
        </w:rPr>
      </w:pPr>
      <w:r w:rsidRPr="00C953C6">
        <w:rPr>
          <w:rFonts w:ascii="Arial" w:hAnsi="Arial" w:eastAsia="Arial" w:cs="Arial"/>
          <w:b/>
          <w:sz w:val="24"/>
          <w:szCs w:val="24"/>
        </w:rPr>
        <w:t xml:space="preserve">Vinculaciones a eventos de terceros: </w:t>
      </w:r>
      <w:r w:rsidRPr="00C953C6">
        <w:rPr>
          <w:rFonts w:ascii="Arial" w:hAnsi="Arial" w:eastAsia="Arial" w:cs="Arial"/>
          <w:sz w:val="24"/>
          <w:szCs w:val="24"/>
        </w:rPr>
        <w:t xml:space="preserve">cuando el operador deba entregar un recurso para un evento realizado por otra empresa, tendrá́ el tratamiento de pagos a terceros y además de presentar fotografías del evento una vez ejecutado, deberá́ aportar el comprobante de pago al organizador. </w:t>
      </w:r>
    </w:p>
    <w:p w:rsidR="00882F40" w:rsidRDefault="00730698" w14:paraId="773409D1" w14:textId="77777777">
      <w:pPr>
        <w:spacing w:before="280" w:after="280" w:line="240" w:lineRule="auto"/>
        <w:ind w:left="360"/>
        <w:jc w:val="both"/>
        <w:rPr>
          <w:rFonts w:ascii="Arial" w:hAnsi="Arial" w:eastAsia="Arial" w:cs="Arial"/>
          <w:sz w:val="24"/>
          <w:szCs w:val="24"/>
        </w:rPr>
      </w:pPr>
      <w:r>
        <w:rPr>
          <w:rFonts w:ascii="Arial" w:hAnsi="Arial" w:eastAsia="Arial" w:cs="Arial"/>
          <w:b/>
          <w:sz w:val="24"/>
          <w:szCs w:val="24"/>
        </w:rPr>
        <w:t>Observación:</w:t>
      </w:r>
      <w:r>
        <w:rPr>
          <w:rFonts w:ascii="Arial" w:hAnsi="Arial" w:eastAsia="Arial" w:cs="Arial"/>
          <w:sz w:val="24"/>
          <w:szCs w:val="24"/>
        </w:rPr>
        <w:t xml:space="preserve"> Lo anterior son ejemplos de algunos ítems que se presentan en los servicios de forma frecuente, sin embargo, es responsabilidad del operador logístico presentar evidencias claras y completas de todos los bienes y servicios entregados en una Orden de Pedido. </w:t>
      </w:r>
    </w:p>
    <w:p w:rsidR="00882F40" w:rsidRDefault="00730698" w14:paraId="2269999A" w14:textId="77777777">
      <w:pPr>
        <w:numPr>
          <w:ilvl w:val="0"/>
          <w:numId w:val="4"/>
        </w:numPr>
        <w:spacing w:before="280" w:after="0" w:line="240" w:lineRule="auto"/>
        <w:ind w:left="360"/>
        <w:jc w:val="both"/>
        <w:rPr>
          <w:rFonts w:ascii="Arial" w:hAnsi="Arial" w:eastAsia="Arial" w:cs="Arial"/>
          <w:sz w:val="24"/>
          <w:szCs w:val="24"/>
        </w:rPr>
      </w:pPr>
      <w:r>
        <w:rPr>
          <w:rFonts w:ascii="Arial" w:hAnsi="Arial" w:eastAsia="Arial" w:cs="Arial"/>
          <w:sz w:val="24"/>
          <w:szCs w:val="24"/>
        </w:rPr>
        <w:t>Al momento de radicar en Activa las facturas con los informes de</w:t>
      </w:r>
      <w:r>
        <w:rPr>
          <w:rFonts w:ascii="Arial" w:hAnsi="Arial" w:eastAsia="Arial" w:cs="Arial"/>
          <w:sz w:val="24"/>
          <w:szCs w:val="24"/>
        </w:rPr>
        <w:br/>
      </w:r>
      <w:r>
        <w:rPr>
          <w:rFonts w:ascii="Arial" w:hAnsi="Arial" w:eastAsia="Arial" w:cs="Arial"/>
          <w:sz w:val="24"/>
          <w:szCs w:val="24"/>
        </w:rPr>
        <w:t xml:space="preserve">evidencias se deberán entregar 1 copia, a doble cara y en cada página imprimir máximo 2 diapositivas de forma tal que el documento impreso sea legible. </w:t>
      </w:r>
    </w:p>
    <w:p w:rsidR="00882F40" w:rsidRDefault="00730698" w14:paraId="48367A64" w14:textId="77777777">
      <w:pPr>
        <w:numPr>
          <w:ilvl w:val="0"/>
          <w:numId w:val="4"/>
        </w:numPr>
        <w:spacing w:after="0" w:line="240" w:lineRule="auto"/>
        <w:ind w:left="360"/>
        <w:jc w:val="both"/>
        <w:rPr>
          <w:rFonts w:ascii="Arial" w:hAnsi="Arial" w:eastAsia="Arial" w:cs="Arial"/>
          <w:sz w:val="24"/>
          <w:szCs w:val="24"/>
        </w:rPr>
      </w:pPr>
      <w:r>
        <w:rPr>
          <w:rFonts w:ascii="Arial" w:hAnsi="Arial" w:eastAsia="Arial" w:cs="Arial"/>
          <w:sz w:val="24"/>
          <w:szCs w:val="24"/>
        </w:rPr>
        <w:t xml:space="preserve">En la diapositiva del informe de evidencias donde se incluye la cotización aprobada, en caso de facturar menores ítems y/o cantidades, el proveedor deberá́ poner una nota especificando el cambio, donde quede claro que no se realizaron todos los ítems de la cotización. Igualmente cuando sea un informe parcial de una orden de pedido, se deberá́ poner la nota aclaratoria. </w:t>
      </w:r>
    </w:p>
    <w:p w:rsidR="00882F40" w:rsidRDefault="00730698" w14:paraId="6D02392C" w14:textId="77777777">
      <w:pPr>
        <w:numPr>
          <w:ilvl w:val="0"/>
          <w:numId w:val="4"/>
        </w:numPr>
        <w:spacing w:after="280" w:line="240" w:lineRule="auto"/>
        <w:ind w:left="360"/>
        <w:jc w:val="both"/>
        <w:rPr>
          <w:rFonts w:ascii="Arial" w:hAnsi="Arial" w:eastAsia="Arial" w:cs="Arial"/>
          <w:sz w:val="24"/>
          <w:szCs w:val="24"/>
        </w:rPr>
      </w:pPr>
      <w:r>
        <w:rPr>
          <w:rFonts w:ascii="Arial" w:hAnsi="Arial" w:eastAsia="Arial" w:cs="Arial"/>
          <w:sz w:val="24"/>
          <w:szCs w:val="24"/>
        </w:rPr>
        <w:t>Facturación a Activa</w:t>
      </w:r>
      <w:r>
        <w:rPr>
          <w:rFonts w:ascii="Arial" w:hAnsi="Arial" w:eastAsia="Arial" w:cs="Arial"/>
          <w:b/>
          <w:sz w:val="24"/>
          <w:szCs w:val="24"/>
        </w:rPr>
        <w:t xml:space="preserve">: </w:t>
      </w:r>
      <w:r>
        <w:rPr>
          <w:rFonts w:ascii="Arial" w:hAnsi="Arial" w:eastAsia="Arial" w:cs="Arial"/>
          <w:sz w:val="24"/>
          <w:szCs w:val="24"/>
        </w:rPr>
        <w:t xml:space="preserve">cuando un operador logístico durante un mes ejecute varias Ordenes de Pedido para un mismo cliente, deberá́ incluir en una misma factura tantas OP como sea posible. La condición es que en la factura cada OP sea facturada como un ítem separado así́: </w:t>
      </w:r>
    </w:p>
    <w:p w:rsidR="00882F40" w:rsidRDefault="00730698" w14:paraId="09584DF1" w14:textId="77777777">
      <w:pPr>
        <w:spacing w:after="0" w:line="240" w:lineRule="auto"/>
        <w:ind w:left="348"/>
        <w:jc w:val="both"/>
        <w:rPr>
          <w:rFonts w:ascii="Arial" w:hAnsi="Arial" w:eastAsia="Arial" w:cs="Arial"/>
          <w:sz w:val="24"/>
          <w:szCs w:val="24"/>
        </w:rPr>
      </w:pPr>
      <w:r>
        <w:rPr>
          <w:rFonts w:ascii="Arial" w:hAnsi="Arial" w:eastAsia="Arial" w:cs="Arial"/>
          <w:noProof/>
          <w:sz w:val="24"/>
          <w:szCs w:val="24"/>
        </w:rPr>
        <w:drawing>
          <wp:inline distT="0" distB="0" distL="0" distR="0" wp14:anchorId="77482A92" wp14:editId="6A6C34FE">
            <wp:extent cx="5295103" cy="908859"/>
            <wp:effectExtent l="0" t="0" r="1270" b="5715"/>
            <wp:docPr id="1144689201" name="image2.png" descr="page3image131397232"/>
            <wp:cNvGraphicFramePr/>
            <a:graphic xmlns:a="http://schemas.openxmlformats.org/drawingml/2006/main">
              <a:graphicData uri="http://schemas.openxmlformats.org/drawingml/2006/picture">
                <pic:pic xmlns:pic="http://schemas.openxmlformats.org/drawingml/2006/picture">
                  <pic:nvPicPr>
                    <pic:cNvPr id="0" name="image2.png" descr="page3image131397232"/>
                    <pic:cNvPicPr preferRelativeResize="0"/>
                  </pic:nvPicPr>
                  <pic:blipFill>
                    <a:blip r:embed="rId11"/>
                    <a:srcRect/>
                    <a:stretch>
                      <a:fillRect/>
                    </a:stretch>
                  </pic:blipFill>
                  <pic:spPr>
                    <a:xfrm>
                      <a:off x="0" y="0"/>
                      <a:ext cx="5351790" cy="918589"/>
                    </a:xfrm>
                    <a:prstGeom prst="rect">
                      <a:avLst/>
                    </a:prstGeom>
                    <a:ln/>
                  </pic:spPr>
                </pic:pic>
              </a:graphicData>
            </a:graphic>
          </wp:inline>
        </w:drawing>
      </w:r>
    </w:p>
    <w:p w:rsidR="00882F40" w:rsidRDefault="00730698" w14:paraId="1BB2BAE5" w14:textId="77777777">
      <w:pPr>
        <w:spacing w:before="280" w:after="280" w:line="240" w:lineRule="auto"/>
        <w:ind w:left="348"/>
        <w:jc w:val="both"/>
        <w:rPr>
          <w:rFonts w:ascii="Arial" w:hAnsi="Arial" w:eastAsia="Arial" w:cs="Arial"/>
          <w:color w:val="000000"/>
          <w:sz w:val="24"/>
          <w:szCs w:val="24"/>
        </w:rPr>
      </w:pPr>
      <w:r>
        <w:rPr>
          <w:rFonts w:ascii="Arial" w:hAnsi="Arial" w:eastAsia="Arial" w:cs="Arial"/>
          <w:b/>
          <w:sz w:val="24"/>
          <w:szCs w:val="24"/>
        </w:rPr>
        <w:t xml:space="preserve">Observación: </w:t>
      </w:r>
      <w:r>
        <w:rPr>
          <w:rFonts w:ascii="Arial" w:hAnsi="Arial" w:eastAsia="Arial" w:cs="Arial"/>
          <w:sz w:val="24"/>
          <w:szCs w:val="24"/>
        </w:rPr>
        <w:t>si un operador logístico ejecuta servicios para varios clientes de Activa, se deberán generar facturas por cada uno de ellos. Así mismo</w:t>
      </w:r>
      <w:r>
        <w:rPr>
          <w:rFonts w:ascii="Arial" w:hAnsi="Arial" w:eastAsia="Arial" w:cs="Arial"/>
          <w:color w:val="000000"/>
          <w:sz w:val="24"/>
          <w:szCs w:val="24"/>
        </w:rPr>
        <w:t xml:space="preserve"> el no cumplimiento de los tiempos establecidos para los informes de evidencias podrá constituir causal suficiente para que Activa suspenda el envío de solicitudes para presentar ofertas durante (90) noventa días, toda vez que los ingresos de Activa dependen directamente de la legalización de cada servicio.</w:t>
      </w:r>
    </w:p>
    <w:p w:rsidR="00882F40" w:rsidRDefault="00730698" w14:paraId="32B89A57" w14:textId="77777777">
      <w:pPr>
        <w:pBdr>
          <w:top w:val="nil"/>
          <w:left w:val="nil"/>
          <w:bottom w:val="nil"/>
          <w:right w:val="nil"/>
          <w:between w:val="nil"/>
        </w:pBdr>
        <w:spacing w:after="0" w:line="240" w:lineRule="auto"/>
        <w:ind w:left="348"/>
        <w:jc w:val="both"/>
        <w:rPr>
          <w:rFonts w:ascii="Arial" w:hAnsi="Arial" w:eastAsia="Arial" w:cs="Arial"/>
          <w:b/>
          <w:color w:val="242424"/>
          <w:sz w:val="24"/>
          <w:szCs w:val="24"/>
        </w:rPr>
      </w:pPr>
      <w:r>
        <w:rPr>
          <w:rFonts w:ascii="Arial" w:hAnsi="Arial" w:eastAsia="Arial" w:cs="Arial"/>
          <w:b/>
          <w:color w:val="000000"/>
          <w:sz w:val="24"/>
          <w:szCs w:val="24"/>
        </w:rPr>
        <w:t>6.3. FACTURACIÓN DEL SERVICIO</w:t>
      </w:r>
    </w:p>
    <w:p w:rsidR="00882F40" w:rsidRDefault="00730698" w14:paraId="6F05C974" w14:textId="77777777">
      <w:pPr>
        <w:pBdr>
          <w:top w:val="nil"/>
          <w:left w:val="nil"/>
          <w:bottom w:val="nil"/>
          <w:right w:val="nil"/>
          <w:between w:val="nil"/>
        </w:pBdr>
        <w:spacing w:after="0" w:line="240" w:lineRule="auto"/>
        <w:ind w:left="348"/>
        <w:jc w:val="both"/>
        <w:rPr>
          <w:rFonts w:ascii="Arial" w:hAnsi="Arial" w:eastAsia="Arial" w:cs="Arial"/>
          <w:color w:val="242424"/>
          <w:sz w:val="24"/>
          <w:szCs w:val="24"/>
        </w:rPr>
      </w:pPr>
      <w:r>
        <w:rPr>
          <w:rFonts w:ascii="Arial" w:hAnsi="Arial" w:eastAsia="Arial" w:cs="Arial"/>
          <w:color w:val="000000"/>
          <w:sz w:val="24"/>
          <w:szCs w:val="24"/>
        </w:rPr>
        <w:t> </w:t>
      </w:r>
    </w:p>
    <w:p w:rsidR="00882F40" w:rsidRDefault="00730698" w14:paraId="4C0E5CC7" w14:textId="77777777">
      <w:pPr>
        <w:pBdr>
          <w:top w:val="nil"/>
          <w:left w:val="nil"/>
          <w:bottom w:val="nil"/>
          <w:right w:val="nil"/>
          <w:between w:val="nil"/>
        </w:pBdr>
        <w:spacing w:after="0" w:line="240" w:lineRule="auto"/>
        <w:ind w:left="348"/>
        <w:jc w:val="both"/>
        <w:rPr>
          <w:rFonts w:ascii="Arial" w:hAnsi="Arial" w:eastAsia="Arial" w:cs="Arial"/>
          <w:color w:val="242424"/>
          <w:sz w:val="24"/>
          <w:szCs w:val="24"/>
        </w:rPr>
      </w:pPr>
      <w:r>
        <w:rPr>
          <w:rFonts w:ascii="Arial" w:hAnsi="Arial" w:eastAsia="Arial" w:cs="Arial"/>
          <w:color w:val="000000"/>
          <w:sz w:val="24"/>
          <w:szCs w:val="24"/>
        </w:rPr>
        <w:t>Una vez aprobado por Activa el informe de evidencias, el operador deberá generar la correspondiente factura y la radicación física, dentro de los (3) tres días siguientes.</w:t>
      </w:r>
    </w:p>
    <w:p w:rsidR="00882F40" w:rsidRDefault="00882F40" w14:paraId="5E0A1F06" w14:textId="77777777">
      <w:pPr>
        <w:pBdr>
          <w:top w:val="nil"/>
          <w:left w:val="nil"/>
          <w:bottom w:val="nil"/>
          <w:right w:val="nil"/>
          <w:between w:val="nil"/>
        </w:pBdr>
        <w:spacing w:after="0" w:line="240" w:lineRule="auto"/>
        <w:ind w:left="348"/>
        <w:jc w:val="both"/>
        <w:rPr>
          <w:rFonts w:ascii="Arial" w:hAnsi="Arial" w:eastAsia="Arial" w:cs="Arial"/>
          <w:color w:val="000000"/>
          <w:sz w:val="24"/>
          <w:szCs w:val="24"/>
        </w:rPr>
      </w:pPr>
    </w:p>
    <w:p w:rsidR="00882F40" w:rsidRDefault="00730698" w14:paraId="45551620" w14:textId="77777777">
      <w:pPr>
        <w:pBdr>
          <w:top w:val="nil"/>
          <w:left w:val="nil"/>
          <w:bottom w:val="nil"/>
          <w:right w:val="nil"/>
          <w:between w:val="nil"/>
        </w:pBdr>
        <w:spacing w:after="0" w:line="240" w:lineRule="auto"/>
        <w:ind w:left="348"/>
        <w:jc w:val="both"/>
        <w:rPr>
          <w:rFonts w:ascii="Arial" w:hAnsi="Arial" w:eastAsia="Arial" w:cs="Arial"/>
          <w:color w:val="242424"/>
          <w:sz w:val="24"/>
          <w:szCs w:val="24"/>
        </w:rPr>
      </w:pPr>
      <w:r>
        <w:rPr>
          <w:rFonts w:ascii="Arial" w:hAnsi="Arial" w:eastAsia="Arial" w:cs="Arial"/>
          <w:b/>
          <w:color w:val="000000"/>
          <w:sz w:val="24"/>
          <w:szCs w:val="24"/>
        </w:rPr>
        <w:t>Observación:</w:t>
      </w:r>
      <w:r>
        <w:rPr>
          <w:rFonts w:ascii="Arial" w:hAnsi="Arial" w:eastAsia="Arial" w:cs="Arial"/>
          <w:color w:val="000000"/>
          <w:sz w:val="24"/>
          <w:szCs w:val="24"/>
        </w:rPr>
        <w:t xml:space="preserve"> El no cumplimiento de estos tiempos (informe de evidencias y facturación) podrá constituir causal suficiente para que Activa suspenda el envío de solicitudes para presentar ofertas durante (90) noventa días, toda vez que los ingresos de Activa dependen directamente de la legalización de cada servicio.</w:t>
      </w:r>
    </w:p>
    <w:p w:rsidR="00882F40" w:rsidRDefault="00730698" w14:paraId="6B8A11C6" w14:textId="77777777">
      <w:pPr>
        <w:rPr>
          <w:rFonts w:ascii="Arial" w:hAnsi="Arial" w:eastAsia="Arial" w:cs="Arial"/>
          <w:b/>
        </w:rPr>
      </w:pPr>
      <w:r>
        <w:rPr>
          <w:rFonts w:ascii="Arial" w:hAnsi="Arial" w:eastAsia="Arial" w:cs="Arial"/>
          <w:b/>
        </w:rPr>
        <w:t>Atentamente,</w:t>
      </w:r>
    </w:p>
    <w:p w:rsidR="00882F40" w:rsidRDefault="00730698" w14:paraId="59F53735" w14:textId="77777777">
      <w:pPr>
        <w:spacing w:after="0"/>
        <w:rPr>
          <w:rFonts w:ascii="Arial" w:hAnsi="Arial" w:eastAsia="Arial" w:cs="Arial"/>
          <w:b/>
        </w:rPr>
      </w:pPr>
      <w:r>
        <w:rPr>
          <w:rFonts w:ascii="Arial" w:hAnsi="Arial" w:eastAsia="Arial" w:cs="Arial"/>
          <w:b/>
        </w:rPr>
        <w:t>Nombre Representante Legal:</w:t>
      </w:r>
    </w:p>
    <w:p w:rsidR="00882F40" w:rsidRDefault="00730698" w14:paraId="2F53C904" w14:textId="77777777">
      <w:pPr>
        <w:spacing w:after="0"/>
        <w:rPr>
          <w:rFonts w:ascii="Arial" w:hAnsi="Arial" w:eastAsia="Arial" w:cs="Arial"/>
          <w:b/>
        </w:rPr>
      </w:pPr>
      <w:r>
        <w:rPr>
          <w:rFonts w:ascii="Arial" w:hAnsi="Arial" w:eastAsia="Arial" w:cs="Arial"/>
          <w:b/>
        </w:rPr>
        <w:t>Dirección proveedor aliado:</w:t>
      </w:r>
    </w:p>
    <w:p w:rsidR="00882F40" w:rsidRDefault="00730698" w14:paraId="3C537359" w14:textId="77777777">
      <w:pPr>
        <w:spacing w:after="0"/>
        <w:rPr>
          <w:rFonts w:ascii="Arial" w:hAnsi="Arial" w:eastAsia="Arial" w:cs="Arial"/>
          <w:b/>
        </w:rPr>
      </w:pPr>
      <w:r>
        <w:rPr>
          <w:rFonts w:ascii="Arial" w:hAnsi="Arial" w:eastAsia="Arial" w:cs="Arial"/>
          <w:b/>
        </w:rPr>
        <w:t>Teléfono del proveedor aliado:</w:t>
      </w:r>
    </w:p>
    <w:p w:rsidR="00882F40" w:rsidRDefault="00730698" w14:paraId="687CEF74" w14:textId="77777777">
      <w:pPr>
        <w:spacing w:after="0"/>
        <w:rPr>
          <w:rFonts w:ascii="Arial" w:hAnsi="Arial" w:eastAsia="Arial" w:cs="Arial"/>
          <w:b/>
        </w:rPr>
      </w:pPr>
      <w:r>
        <w:rPr>
          <w:rFonts w:ascii="Arial" w:hAnsi="Arial" w:eastAsia="Arial" w:cs="Arial"/>
          <w:b/>
        </w:rPr>
        <w:t>Correo electrónico de notificaciones:</w:t>
      </w:r>
    </w:p>
    <w:p w:rsidR="00882F40" w:rsidRDefault="00882F40" w14:paraId="1BFB11FB" w14:textId="77777777">
      <w:pPr>
        <w:spacing w:after="0"/>
        <w:rPr>
          <w:rFonts w:ascii="Arial" w:hAnsi="Arial" w:eastAsia="Arial" w:cs="Arial"/>
        </w:rPr>
      </w:pPr>
    </w:p>
    <w:p w:rsidR="00882F40" w:rsidRDefault="00730698" w14:paraId="09ED7FB0" w14:textId="77777777">
      <w:pPr>
        <w:tabs>
          <w:tab w:val="left" w:pos="5160"/>
        </w:tabs>
        <w:rPr>
          <w:rFonts w:ascii="Arial" w:hAnsi="Arial" w:eastAsia="Arial" w:cs="Arial"/>
        </w:rPr>
      </w:pPr>
      <w:r>
        <w:rPr>
          <w:rFonts w:ascii="Arial" w:hAnsi="Arial" w:eastAsia="Arial" w:cs="Arial"/>
        </w:rPr>
        <w:tab/>
      </w:r>
    </w:p>
    <w:sectPr w:rsidR="00882F40">
      <w:headerReference w:type="default" r:id="rId12"/>
      <w:footerReference w:type="default" r:id="rId13"/>
      <w:pgSz w:w="12240" w:h="15840" w:orient="portrait"/>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9477C" w:rsidRDefault="0019477C" w14:paraId="67F28955" w14:textId="77777777">
      <w:pPr>
        <w:spacing w:after="0" w:line="240" w:lineRule="auto"/>
      </w:pPr>
      <w:r>
        <w:separator/>
      </w:r>
    </w:p>
  </w:endnote>
  <w:endnote w:type="continuationSeparator" w:id="0">
    <w:p w:rsidR="0019477C" w:rsidRDefault="0019477C" w14:paraId="264CD0D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2F40" w:rsidRDefault="00730698" w14:paraId="4B62931F" w14:textId="77777777">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9477C" w:rsidRDefault="0019477C" w14:paraId="25BD5991" w14:textId="77777777">
      <w:pPr>
        <w:spacing w:after="0" w:line="240" w:lineRule="auto"/>
      </w:pPr>
      <w:r>
        <w:separator/>
      </w:r>
    </w:p>
  </w:footnote>
  <w:footnote w:type="continuationSeparator" w:id="0">
    <w:p w:rsidR="0019477C" w:rsidRDefault="0019477C" w14:paraId="6781D2B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82F40" w:rsidRDefault="00882F40" w14:paraId="56823E9E" w14:textId="77777777">
    <w:pPr>
      <w:widowControl w:val="0"/>
      <w:pBdr>
        <w:top w:val="nil"/>
        <w:left w:val="nil"/>
        <w:bottom w:val="nil"/>
        <w:right w:val="nil"/>
        <w:between w:val="nil"/>
      </w:pBdr>
      <w:spacing w:after="0"/>
      <w:rPr>
        <w:rFonts w:ascii="Arial" w:hAnsi="Arial" w:eastAsia="Arial" w:cs="Arial"/>
      </w:rPr>
    </w:pPr>
  </w:p>
  <w:tbl>
    <w:tblPr>
      <w:tblStyle w:val="a0"/>
      <w:tblW w:w="1059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10"/>
      <w:gridCol w:w="5659"/>
      <w:gridCol w:w="2230"/>
    </w:tblGrid>
    <w:tr w:rsidR="00882F40" w14:paraId="0FEA9E84" w14:textId="77777777">
      <w:trPr>
        <w:cantSplit/>
        <w:trHeight w:val="846"/>
        <w:jc w:val="center"/>
      </w:trPr>
      <w:tc>
        <w:tcPr>
          <w:tcW w:w="2710" w:type="dxa"/>
          <w:vMerge w:val="restart"/>
          <w:tcBorders>
            <w:top w:val="single" w:color="000000" w:sz="4" w:space="0"/>
            <w:left w:val="single" w:color="000000" w:sz="4" w:space="0"/>
            <w:bottom w:val="single" w:color="000000" w:sz="4" w:space="0"/>
            <w:right w:val="single" w:color="000000" w:sz="4" w:space="0"/>
          </w:tcBorders>
          <w:vAlign w:val="center"/>
        </w:tcPr>
        <w:p w:rsidR="00882F40" w:rsidRDefault="00730698" w14:paraId="5DA91075" w14:textId="77777777">
          <w:pPr>
            <w:tabs>
              <w:tab w:val="center" w:pos="4419"/>
              <w:tab w:val="right" w:pos="8838"/>
            </w:tabs>
            <w:jc w:val="center"/>
            <w:rPr>
              <w:rFonts w:ascii="Tahoma" w:hAnsi="Tahoma" w:eastAsia="Tahoma" w:cs="Tahoma"/>
              <w:sz w:val="20"/>
              <w:szCs w:val="20"/>
            </w:rPr>
          </w:pPr>
          <w:r>
            <w:rPr>
              <w:noProof/>
            </w:rPr>
            <w:drawing>
              <wp:anchor distT="0" distB="0" distL="114300" distR="114300" simplePos="0" relativeHeight="251658240" behindDoc="0" locked="0" layoutInCell="1" hidden="0" allowOverlap="1" wp14:anchorId="12771ED9" wp14:editId="7EE730F6">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1144689200"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color="000000" w:sz="4" w:space="0"/>
            <w:left w:val="single" w:color="000000" w:sz="4" w:space="0"/>
            <w:bottom w:val="single" w:color="000000" w:sz="4" w:space="0"/>
            <w:right w:val="single" w:color="000000" w:sz="4" w:space="0"/>
          </w:tcBorders>
          <w:vAlign w:val="center"/>
        </w:tcPr>
        <w:p w:rsidR="00882F40" w:rsidRDefault="00730698" w14:paraId="39E94946" w14:textId="77777777">
          <w:pPr>
            <w:pBdr>
              <w:top w:val="nil"/>
              <w:left w:val="nil"/>
              <w:bottom w:val="nil"/>
              <w:right w:val="nil"/>
              <w:between w:val="nil"/>
            </w:pBdr>
            <w:spacing w:after="0" w:line="240" w:lineRule="auto"/>
            <w:jc w:val="center"/>
            <w:rPr>
              <w:rFonts w:ascii="Montserrat Medium" w:hAnsi="Montserrat Medium" w:eastAsia="Montserrat Medium" w:cs="Montserrat Medium"/>
              <w:b/>
              <w:color w:val="000000"/>
              <w:sz w:val="24"/>
              <w:szCs w:val="24"/>
            </w:rPr>
          </w:pPr>
          <w:r>
            <w:rPr>
              <w:rFonts w:ascii="Montserrat Medium" w:hAnsi="Montserrat Medium" w:eastAsia="Montserrat Medium" w:cs="Montserrat Medium"/>
              <w:b/>
              <w:color w:val="000000"/>
              <w:sz w:val="24"/>
              <w:szCs w:val="24"/>
            </w:rPr>
            <w:t xml:space="preserve">ACUERDO DE NIVELES DE SERVICIO – ANS </w:t>
          </w:r>
        </w:p>
      </w:tc>
      <w:tc>
        <w:tcPr>
          <w:tcW w:w="2230" w:type="dxa"/>
          <w:tcBorders>
            <w:top w:val="single" w:color="000000" w:sz="4" w:space="0"/>
            <w:left w:val="single" w:color="000000" w:sz="4" w:space="0"/>
            <w:bottom w:val="single" w:color="000000" w:sz="4" w:space="0"/>
            <w:right w:val="single" w:color="000000" w:sz="4" w:space="0"/>
          </w:tcBorders>
          <w:vAlign w:val="center"/>
        </w:tcPr>
        <w:p w:rsidR="00882F40" w:rsidRDefault="00730698" w14:paraId="45ACC411" w14:textId="77777777">
          <w:pPr>
            <w:ind w:left="68"/>
            <w:rPr>
              <w:rFonts w:ascii="Montserrat Medium" w:hAnsi="Montserrat Medium" w:eastAsia="Montserrat Medium" w:cs="Montserrat Medium"/>
              <w:b/>
              <w:color w:val="000000"/>
              <w:sz w:val="20"/>
              <w:szCs w:val="20"/>
            </w:rPr>
          </w:pPr>
          <w:r>
            <w:rPr>
              <w:rFonts w:ascii="Montserrat Medium" w:hAnsi="Montserrat Medium" w:eastAsia="Montserrat Medium" w:cs="Montserrat Medium"/>
              <w:b/>
              <w:color w:val="000000"/>
              <w:sz w:val="20"/>
              <w:szCs w:val="20"/>
            </w:rPr>
            <w:t xml:space="preserve">Código: </w:t>
          </w:r>
        </w:p>
      </w:tc>
    </w:tr>
    <w:tr w:rsidR="00882F40" w14:paraId="3306221B" w14:textId="77777777">
      <w:trPr>
        <w:cantSplit/>
        <w:trHeight w:val="497"/>
        <w:jc w:val="center"/>
      </w:trPr>
      <w:tc>
        <w:tcPr>
          <w:tcW w:w="2710" w:type="dxa"/>
          <w:vMerge/>
          <w:tcBorders>
            <w:top w:val="single" w:color="000000" w:sz="4" w:space="0"/>
            <w:left w:val="single" w:color="000000" w:sz="4" w:space="0"/>
            <w:bottom w:val="single" w:color="000000" w:sz="4" w:space="0"/>
            <w:right w:val="single" w:color="000000" w:sz="4" w:space="0"/>
          </w:tcBorders>
          <w:vAlign w:val="center"/>
        </w:tcPr>
        <w:p w:rsidR="00882F40" w:rsidRDefault="00882F40" w14:paraId="36CFD55E"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5659" w:type="dxa"/>
          <w:vMerge/>
          <w:tcBorders>
            <w:top w:val="single" w:color="000000" w:sz="4" w:space="0"/>
            <w:left w:val="single" w:color="000000" w:sz="4" w:space="0"/>
            <w:bottom w:val="single" w:color="000000" w:sz="4" w:space="0"/>
            <w:right w:val="single" w:color="000000" w:sz="4" w:space="0"/>
          </w:tcBorders>
          <w:vAlign w:val="center"/>
        </w:tcPr>
        <w:p w:rsidR="00882F40" w:rsidRDefault="00882F40" w14:paraId="5E393F74"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2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882F40" w:rsidRDefault="00730698" w14:paraId="554429D8" w14:textId="77777777">
          <w:pPr>
            <w:tabs>
              <w:tab w:val="center" w:pos="4419"/>
              <w:tab w:val="right" w:pos="8838"/>
            </w:tabs>
            <w:rPr>
              <w:rFonts w:ascii="Montserrat Medium" w:hAnsi="Montserrat Medium" w:eastAsia="Montserrat Medium" w:cs="Montserrat Medium"/>
              <w:b/>
              <w:sz w:val="20"/>
              <w:szCs w:val="20"/>
            </w:rPr>
          </w:pPr>
          <w:r>
            <w:rPr>
              <w:rFonts w:ascii="Montserrat Medium" w:hAnsi="Montserrat Medium" w:eastAsia="Montserrat Medium" w:cs="Montserrat Medium"/>
              <w:b/>
              <w:sz w:val="20"/>
              <w:szCs w:val="20"/>
            </w:rPr>
            <w:t>Versión:</w:t>
          </w:r>
        </w:p>
      </w:tc>
    </w:tr>
  </w:tbl>
  <w:p w:rsidR="00882F40" w:rsidRDefault="00882F40" w14:paraId="0D572919" w14:textId="77777777">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9699A"/>
    <w:multiLevelType w:val="multilevel"/>
    <w:tmpl w:val="FFECD040"/>
    <w:lvl w:ilvl="0">
      <w:start w:val="6"/>
      <w:numFmt w:val="decimal"/>
      <w:lvlText w:val="%1."/>
      <w:lvlJc w:val="left"/>
      <w:pPr>
        <w:ind w:left="12" w:hanging="360"/>
      </w:pPr>
    </w:lvl>
    <w:lvl w:ilvl="1">
      <w:start w:val="1"/>
      <w:numFmt w:val="decimal"/>
      <w:lvlText w:val="%2."/>
      <w:lvlJc w:val="left"/>
      <w:pPr>
        <w:ind w:left="732" w:hanging="360"/>
      </w:pPr>
    </w:lvl>
    <w:lvl w:ilvl="2">
      <w:start w:val="1"/>
      <w:numFmt w:val="decimal"/>
      <w:lvlText w:val="%3."/>
      <w:lvlJc w:val="left"/>
      <w:pPr>
        <w:ind w:left="1452" w:hanging="360"/>
      </w:pPr>
    </w:lvl>
    <w:lvl w:ilvl="3">
      <w:start w:val="1"/>
      <w:numFmt w:val="decimal"/>
      <w:lvlText w:val="%4."/>
      <w:lvlJc w:val="left"/>
      <w:pPr>
        <w:ind w:left="2172" w:hanging="360"/>
      </w:pPr>
    </w:lvl>
    <w:lvl w:ilvl="4">
      <w:start w:val="1"/>
      <w:numFmt w:val="decimal"/>
      <w:lvlText w:val="%5."/>
      <w:lvlJc w:val="left"/>
      <w:pPr>
        <w:ind w:left="2892" w:hanging="360"/>
      </w:pPr>
    </w:lvl>
    <w:lvl w:ilvl="5">
      <w:start w:val="1"/>
      <w:numFmt w:val="decimal"/>
      <w:lvlText w:val="%6."/>
      <w:lvlJc w:val="left"/>
      <w:pPr>
        <w:ind w:left="3612" w:hanging="360"/>
      </w:pPr>
    </w:lvl>
    <w:lvl w:ilvl="6">
      <w:start w:val="1"/>
      <w:numFmt w:val="decimal"/>
      <w:lvlText w:val="%7."/>
      <w:lvlJc w:val="left"/>
      <w:pPr>
        <w:ind w:left="4332" w:hanging="360"/>
      </w:pPr>
    </w:lvl>
    <w:lvl w:ilvl="7">
      <w:start w:val="1"/>
      <w:numFmt w:val="decimal"/>
      <w:lvlText w:val="%8."/>
      <w:lvlJc w:val="left"/>
      <w:pPr>
        <w:ind w:left="5052" w:hanging="360"/>
      </w:pPr>
    </w:lvl>
    <w:lvl w:ilvl="8">
      <w:start w:val="1"/>
      <w:numFmt w:val="decimal"/>
      <w:lvlText w:val="%9."/>
      <w:lvlJc w:val="left"/>
      <w:pPr>
        <w:ind w:left="5772" w:hanging="360"/>
      </w:pPr>
    </w:lvl>
  </w:abstractNum>
  <w:abstractNum w:abstractNumId="1" w15:restartNumberingAfterBreak="0">
    <w:nsid w:val="11B15699"/>
    <w:multiLevelType w:val="multilevel"/>
    <w:tmpl w:val="CBF645A4"/>
    <w:lvl w:ilvl="0">
      <w:start w:val="1"/>
      <w:numFmt w:val="decimal"/>
      <w:lvlText w:val="%1."/>
      <w:lvlJc w:val="left"/>
      <w:pPr>
        <w:ind w:left="720" w:hanging="360"/>
      </w:pPr>
    </w:lvl>
    <w:lvl w:ilvl="1">
      <w:start w:val="1"/>
      <w:numFmt w:val="decimal"/>
      <w:lvlText w:val="%1.%2"/>
      <w:lvlJc w:val="left"/>
      <w:pPr>
        <w:ind w:left="760" w:hanging="40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 w15:restartNumberingAfterBreak="0">
    <w:nsid w:val="27AE0641"/>
    <w:multiLevelType w:val="multilevel"/>
    <w:tmpl w:val="28107A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3ED10951"/>
    <w:multiLevelType w:val="multilevel"/>
    <w:tmpl w:val="2A7C1E20"/>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
      <w:lvlJc w:val="left"/>
      <w:pPr>
        <w:ind w:left="1440" w:hanging="360"/>
      </w:pPr>
      <w:rPr>
        <w:rFonts w:ascii="Noto Sans Symbols" w:hAnsi="Noto Sans Symbols" w:eastAsia="Noto Sans Symbols" w:cs="Noto Sans Symbols"/>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4" w15:restartNumberingAfterBreak="0">
    <w:nsid w:val="7D7A7875"/>
    <w:multiLevelType w:val="multilevel"/>
    <w:tmpl w:val="F99EEF88"/>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16cid:durableId="1075589601">
    <w:abstractNumId w:val="1"/>
  </w:num>
  <w:num w:numId="2" w16cid:durableId="346635601">
    <w:abstractNumId w:val="2"/>
  </w:num>
  <w:num w:numId="3" w16cid:durableId="1301152805">
    <w:abstractNumId w:val="3"/>
  </w:num>
  <w:num w:numId="4" w16cid:durableId="792361469">
    <w:abstractNumId w:val="0"/>
  </w:num>
  <w:num w:numId="5" w16cid:durableId="142233065">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72"/>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F40"/>
    <w:rsid w:val="0019477C"/>
    <w:rsid w:val="002F2B23"/>
    <w:rsid w:val="00564414"/>
    <w:rsid w:val="005B4EE1"/>
    <w:rsid w:val="00730698"/>
    <w:rsid w:val="007A1115"/>
    <w:rsid w:val="00882F40"/>
    <w:rsid w:val="00B02917"/>
    <w:rsid w:val="00C54DE1"/>
    <w:rsid w:val="00C953C6"/>
    <w:rsid w:val="00E65996"/>
    <w:rsid w:val="1097C755"/>
    <w:rsid w:val="1D13CD06"/>
    <w:rsid w:val="3A540574"/>
    <w:rsid w:val="636E878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9AAC1"/>
  <w15:docId w15:val="{F40C9090-607D-4911-AD6C-91571D4ACE6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styleId="PrrafodelistaCar" w:customStyle="1">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EA25A8"/>
    <w:rPr>
      <w:lang w:val="es-ES"/>
    </w:rPr>
  </w:style>
  <w:style w:type="paragraph" w:styleId="Default" w:customStyle="1">
    <w:name w:val="Default"/>
    <w:rsid w:val="00EA25A8"/>
    <w:pPr>
      <w:autoSpaceDE w:val="0"/>
      <w:autoSpaceDN w:val="0"/>
      <w:adjustRightInd w:val="0"/>
      <w:spacing w:after="0" w:line="240" w:lineRule="auto"/>
    </w:pPr>
    <w:rPr>
      <w:rFonts w:ascii="Arial" w:hAnsi="Arial" w:eastAsia="Times New Roman" w:cs="Arial"/>
      <w:color w:val="000000"/>
      <w:sz w:val="24"/>
      <w:szCs w:val="24"/>
    </w:rPr>
  </w:style>
  <w:style w:type="character" w:styleId="SinespaciadoCar" w:customStyle="1">
    <w:name w:val="Sin espaciado Car"/>
    <w:aliases w:val="Encabezado CCE Car,Negrilla-COLVISTA Car"/>
    <w:link w:val="Sinespaciado"/>
    <w:uiPriority w:val="1"/>
    <w:locked/>
    <w:rsid w:val="0022175A"/>
    <w:rPr>
      <w:rFonts w:ascii="Calibri" w:hAnsi="Calibri" w:eastAsia="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paragraph" w:styleId="xelementtoproof" w:customStyle="1">
    <w:name w:val="x_elementtoproof"/>
    <w:basedOn w:val="Normal"/>
    <w:rsid w:val="00013BFD"/>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pPr>
      <w:spacing w:after="0" w:line="240" w:lineRule="auto"/>
    </w:pPr>
    <w:tblPr>
      <w:tblStyleRowBandSize w:val="1"/>
      <w:tblStyleColBandSize w:val="1"/>
      <w:tblCellMar>
        <w:left w:w="108" w:type="dxa"/>
        <w:right w:w="108" w:type="dxa"/>
      </w:tblCellMar>
    </w:tblPr>
  </w:style>
  <w:style w:type="table" w:styleId="a0" w:customStyle="1">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CcyqeSsFpt99l2qcCTAO6LVGxg==">CgMxLjA4AHIhMUVOUzhwdkEtTFpfdl9qdTlaRTBfVEd4bHdhWC1iYm5r</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7A6315-8532-49D7-BB77-99ACA7E01C46}"/>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A3BC8518-8DC2-493C-BBAD-AD96F0104D4C}">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4.xml><?xml version="1.0" encoding="utf-8"?>
<ds:datastoreItem xmlns:ds="http://schemas.openxmlformats.org/officeDocument/2006/customXml" ds:itemID="{A0A7331C-DB2A-4A95-B4F3-32BA9A7D743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Olga Maria Hurtado Arango</dc:creator>
  <lastModifiedBy>Luis Felipe Sepulveda Vargas</lastModifiedBy>
  <revision>4</revision>
  <dcterms:created xsi:type="dcterms:W3CDTF">2026-03-05T18:06:00.0000000Z</dcterms:created>
  <dcterms:modified xsi:type="dcterms:W3CDTF">2026-03-10T16:50:49.7637842Z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